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bmp" ContentType="image/bmp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/>
        <w:jc w:val="center"/>
        <w:rPr>
          <w:b/>
          <w:b/>
          <w:lang w:val="pt-BR" w:eastAsia="zh-CN" w:bidi="hi-IN"/>
        </w:rPr>
      </w:pPr>
      <w:r>
        <w:rPr>
          <w:b/>
          <w:lang w:val="pt-BR" w:eastAsia="zh-CN" w:bidi="hi-IN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</w:r>
    </w:p>
    <w:p>
      <w:pPr>
        <w:pStyle w:val="LOnormal"/>
        <w:spacing w:lineRule="auto" w:line="360"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 xml:space="preserve">RECOMENDAÇÃO Nº 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  <w:lang w:val="pt-BR" w:eastAsia="zh-CN" w:bidi="hi-IN"/>
        </w:rPr>
        <w:t>***/202*</w:t>
      </w:r>
    </w:p>
    <w:p>
      <w:pPr>
        <w:pStyle w:val="LOnormal"/>
        <w:spacing w:lineRule="auto" w:line="360" w:before="24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Onormal"/>
        <w:spacing w:lineRule="auto" w:line="360" w:before="240" w:after="0"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 xml:space="preserve">PROCEDIMENTO ADMINISTRATIVO Nº 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  <w:lang w:val="pt-BR" w:eastAsia="zh-CN" w:bidi="hi-IN"/>
        </w:rPr>
        <w:t>*****</w:t>
      </w:r>
    </w:p>
    <w:p>
      <w:pPr>
        <w:pStyle w:val="LOnormal"/>
        <w:spacing w:lineRule="auto" w:line="360" w:before="240" w:after="0"/>
        <w:jc w:val="center"/>
        <w:rPr>
          <w:lang w:val="pt-BR" w:eastAsia="zh-CN" w:bidi="hi-IN"/>
        </w:rPr>
      </w:pPr>
      <w:r>
        <w:rPr>
          <w:b/>
          <w:lang w:val="pt-BR" w:eastAsia="zh-CN" w:bidi="hi-IN"/>
        </w:rPr>
        <w:br/>
        <w:br/>
      </w:r>
    </w:p>
    <w:p>
      <w:pPr>
        <w:pStyle w:val="LOnormal"/>
        <w:spacing w:lineRule="auto" w:line="360" w:before="120" w:after="120"/>
        <w:ind w:firstLine="144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>O MINISTÉRIO PÚBLICO DO ESTADO DO CEARÁ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 xml:space="preserve">, por intermédio do Promotor de Justiça titular da Promotoria de Justiça da comarca de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shd w:fill="FFFF00" w:val="clear"/>
          <w:lang w:val="pt-BR" w:eastAsia="zh-CN" w:bidi="hi-IN"/>
        </w:rPr>
        <w:t>*********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, no uso das atribuições que lhe são conferidas pelo artigo 127 da Constituição Federal de 1988; artigo 26, inciso I, e alíneas, da Lei Federal nº 8.625/93, artigo 7º, inciso I, da Lei Complementar Federal nº 75/93; e atendendo às determinações constantes da Resolução nº 036/2016 do OECPJ/CE;</w:t>
      </w:r>
    </w:p>
    <w:p>
      <w:pPr>
        <w:pStyle w:val="LOnormal"/>
        <w:spacing w:lineRule="auto" w:line="360" w:before="120" w:after="120"/>
        <w:ind w:firstLine="144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que é função institucional do Ministério Público zelar pelo efetivo respeito dos serviços de relevância pública aos direitos assegurados pela Carta Magna, promovendo as medidas necessárias à sua garantia (art. 129, II, da Constituição Federal);</w:t>
      </w:r>
    </w:p>
    <w:p>
      <w:pPr>
        <w:pStyle w:val="LOnormal"/>
        <w:spacing w:lineRule="auto" w:line="360" w:before="120" w:after="120"/>
        <w:ind w:firstLine="144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 xml:space="preserve"> que ao Ministério Público cabe exercer a defesa dos direitos assegurados na Constituição Federal, sempre que for necessária a garantia de seu respeito pelos poderes constituídos, nos termos do artigo 27, inciso I da Lei nº 8.625/93;</w:t>
      </w:r>
    </w:p>
    <w:p>
      <w:pPr>
        <w:pStyle w:val="LOnormal"/>
        <w:spacing w:lineRule="auto" w:line="360" w:before="120" w:after="120"/>
        <w:ind w:firstLine="144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 xml:space="preserve"> que compete ao Ministério Público “</w:t>
      </w:r>
      <w:r>
        <w:rPr>
          <w:rFonts w:eastAsia="Times New Roman" w:cs="Times New Roman" w:ascii="Times New Roman" w:hAnsi="Times New Roman"/>
          <w:i/>
          <w:sz w:val="24"/>
          <w:szCs w:val="24"/>
          <w:lang w:val="pt-BR" w:eastAsia="zh-CN" w:bidi="hi-IN"/>
        </w:rPr>
        <w:t>expedir recomendações, visando à melhoria dos serviços públicos e de relevância pública, bem como ao respeito, aos interesses, direitos e bens cuja defesa lhe cabe promover, fixando prazo razoável para a adoção das providências cabíveis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” (art. 129, inciso III, da Constituição Federal; art. 6º, incisos VII e XX, da Lei Complementar nº 75/93; art. 27, Parágrafo Único, inciso IV da Lei nº 8.625/1993);</w:t>
      </w:r>
    </w:p>
    <w:p>
      <w:pPr>
        <w:pStyle w:val="Normal"/>
        <w:keepNext w:val="false"/>
        <w:keepLines w:val="false"/>
        <w:widowControl/>
        <w:numPr>
          <w:ilvl w:val="0"/>
          <w:numId w:val="2"/>
        </w:numPr>
        <w:shd w:val="clear" w:fill="auto"/>
        <w:suppressAutoHyphens w:val="true"/>
        <w:spacing w:lineRule="auto" w:line="360" w:before="113" w:after="113"/>
        <w:ind w:left="0" w:right="0" w:firstLine="170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pt-BR" w:eastAsia="zh-CN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sendo seu dever zelar pelo efetivo respeito dos Poderes Públicos e dos serviços de relevância pública aos direitos assegurados na Constituição Federal, promovendo as medidas necessárias a sua garantia e promover o inquérito civil e a ação civil pública, para a proteção do patrimônio público e social, do meio ambiente e de outros interesses difusos e coletivos;</w:t>
      </w:r>
    </w:p>
    <w:p>
      <w:pPr>
        <w:pStyle w:val="Standard"/>
        <w:numPr>
          <w:ilvl w:val="0"/>
          <w:numId w:val="2"/>
        </w:numPr>
        <w:spacing w:lineRule="auto" w:line="360" w:before="113" w:after="113"/>
        <w:ind w:left="0" w:firstLine="1701"/>
        <w:jc w:val="both"/>
        <w:rPr>
          <w:lang w:val="pt-BR" w:eastAsia="zh-CN"/>
        </w:rPr>
      </w:pPr>
      <w:r>
        <w:rPr>
          <w:rFonts w:eastAsia="Times New Roman" w:cs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/>
          <w:sz w:val="24"/>
          <w:szCs w:val="24"/>
          <w:lang w:val="pt-BR" w:eastAsia="zh-CN"/>
        </w:rPr>
        <w:t xml:space="preserve"> que ao Ministério Público cabe exercer a defesa dos direitos assegurados na Constituição Federal sempre que for necessária a garantia do seu respeito pelos poderes municipais, nos termos do artigo 27, inciso I da Lei nº 8.625/93 (Lei Orgânica do Ministério Público);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 aos brasileiros é garantido a inviolabilidade do direito à vida, a proteção à infância e os direitos fundamentais concernentes à saúde e educação de qualidade (arts. 5º e 6º da Constituição Federal);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que a Carta Magna determina que é dever da família, sociedade e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do Estado assegurar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à criança, ao adolescente e ao jovem, com absoluta prioridade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o direito à vida,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à saúde,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à alimentação,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à educação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, ao lazer, à profissionalização, à cultura,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 à dignidade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ao respeito, à liberdade e à convivência familiar e comunitária,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além de colocá-los a salvo de toda forma de negligência,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consoante art. 227, caput e inciso II;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o Estatuto da Criança e do Adolescente (ECA), Lei Federal nº 8.069, de 13 de julho de 1990,</w:t>
      </w:r>
      <w:r>
        <w:rPr>
          <w:rFonts w:eastAsia="Verdana" w:cs="Verdana" w:ascii="Times New Roman" w:hAnsi="Times New Roman"/>
          <w:color w:val="4B565A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também regula o direito à educação, reiterando os princípios e garantias já postos pela Constituição da República, e estendendo direitos, tais como,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primazia em receber proteção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 socorro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precedência no atendimento nos serviços públicos,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preferência na formulação de políticas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e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destinação privilegiada de recursos para sua proteção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, através do art. 4º, caput, e parágrafo único, alíneas “a” ao “d”;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o Estatuto da Infância leciona, ainda, que a criança e o adolescente gozam de todos os direitos fundamentais inerentes à pessoa humana, sem prejuízo da proteção integral de que trata essa mesma lei;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a Lei de Diretrizes e Bases da Educação (LDB),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Lei nº 9.394/90, no art. 10, é claro ao determinar que incumbe aos Estados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elaborar e executar políticas e planos educacionais, em consonância com as diretrizes e planos nacionais de educação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integrando e coordenando as suas ações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e as dos seus Municípios;</w:t>
      </w:r>
    </w:p>
    <w:p>
      <w:pPr>
        <w:pStyle w:val="Normal"/>
        <w:spacing w:lineRule="auto" w:line="36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 xml:space="preserve"> que a LDB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leciona, ainda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val="pt-BR" w:eastAsia="zh-CN"/>
        </w:rPr>
        <w:t>, no art. 17, que os sistemas de ensino dos Estados compreendem as instituições de ensino mantidas, respectivamente, pelo Poder Público estadual, as instituições de ensino fundamental e médio criadas e mantidas pela iniciativa privada, entre outras;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Municípios incumbe a supervisão dos estabelecimentos do seu sistema de ensino e promover ambiente escolar seguro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(art. 11, incisos IV e IX, da LDB);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o sistema municipal de ensino compreende: I - as instituições do ensino fundamental, médio e de educação infantil mantidas pelo Poder Público municipal; II - as instituições de educação infantil criadas e mantidas pela iniciativa privada; III - os órgãos municipais de educação (art. 18 da LDB);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 Lei Federal nº 13.722/2018 – “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Lei Lucas”, tornou obrigatória a capacitação e/ou à reciclagem em noções básicas de primeiros socorros de professores e funcionários de estabelecimentos de ensino públicos e privados de educação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>básica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>e de estabelecimentos de recreação infantil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 Lei Federal alhures leciona, no art. 1º, que 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estabelecimentos de ensino de educação básica da rede pública, por meio dos respectivos sistemas de ensino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e os estabelecimentos de ensino de educação básica da rede privada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deverão capacitar professores e funcionários em noções de primeiros socorros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devendo tais cursos serem ofertados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anualmente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/>
        </w:rPr>
        <w:t>, d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e modo que,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a não afixação em local visível da certificação que comprove a realização da capacitação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de que trata esta Lei e o nome dos profissionais capacitados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implicará a imposição de penalidades pela autoridade administrativa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, no âmbito de sua competência, quais sejam: I - notificação de descumprimento da Lei; II - multa, aplicada em dobro em caso de reincidência; ou III - em caso de nova reincidência, a cassação do alvará de funcionamento ou da autorização concedida pelo órgão de educação, quando se tratar de creche ou estabelecimento particular de ensino ou de recreação, ou a responsabilização patrimonial do agente público, quando se tratar de creche ou estabelecimento público;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o Regramento impõe responsabilidade ao Executivo, uma vez que será definido pelo poder regulamentar a quantidade de profissionais capacitados em cada estabelecimento exigido, guardada a proporção com o tamanho do corpo de professores e funcionários ou com o fluxo de atendimento de crianças e adolescentes no estabelecimento, junto a fixação dos critérios para a implementação dos cursos de primeiros socorros (art. 1º, §2º e art. 6º);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os estabelecimentos de ensino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ou de recreação 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das redes públicas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e particulares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 deverão dispor de kits de primeiros socorros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, conforme orientação das entidades especializadas em atendimento emergencial à população (art. 2º, §2º);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>CONSIDERANDO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 que as despesas para a execução da Lei nº 13.722/2018 correrão por conta de dotações orçamentárias próprias, incluídas pelo Poder Executivo nas propostas orçamentárias anuais e em seu plano plurianual;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que, dentre os objetivos da Legislação, não se objetiva transferir ao profissional de ensino ou recreação a responsabilidade de um profissional de saúde com formação técnica, busca-se, na verdade, impedir que, por falta de conhecimentos básicos de primeiros socorros e salvamento, com técnicas de ação imediata, se instale um quadro severo ou letal, fruto de acidentes, que podem se tornar a diferença entre a vida e a morte de um vulnerável;</w:t>
      </w:r>
    </w:p>
    <w:p>
      <w:pPr>
        <w:pStyle w:val="Normal"/>
        <w:spacing w:lineRule="auto" w:line="360" w:before="240" w:after="240"/>
        <w:ind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/>
        </w:rPr>
        <w:t xml:space="preserve">CONSIDERANDO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que acidentes ocorrem à revelia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do nível de atenção de responsáveis e cuidadores por crianças e adolescentes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, muitos deles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 xml:space="preserve">inevitáveis, </w:t>
      </w:r>
      <w:r>
        <w:rPr>
          <w:rFonts w:eastAsia="Times New Roman" w:cs="Times New Roman" w:ascii="Times New Roman" w:hAnsi="Times New Roman"/>
          <w:sz w:val="24"/>
          <w:szCs w:val="24"/>
          <w:lang w:val="pt-BR" w:eastAsia="zh-CN"/>
        </w:rPr>
        <w:t>em função de sua natureza imprevisível; contudo, no tocante a determinados episódios, que podem vir a ser enfrentados no ambiente escolar e congênere, torna-se dever dos profissionais adultos que tutelam jovens em formação garantir-lhes boas condições de amparo quando da ocorrência de um sinistro;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  <w:lang w:val="pt-BR" w:eastAsia="zh-CN" w:bidi="hi-IN"/>
        </w:rPr>
        <w:t>CONSIDERANDO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 w:bidi="hi-IN"/>
        </w:rPr>
        <w:t xml:space="preserve"> que ao Ministério Público incumbe a adoção de medidas direcionadas à máxima efetividade do direito fundamental à educação, com realce para as garantias de acesso, permanência, participação e aprendizagem;</w:t>
      </w:r>
    </w:p>
    <w:p>
      <w:pPr>
        <w:pStyle w:val="Normal"/>
        <w:spacing w:lineRule="auto" w:line="360" w:before="240" w:after="240"/>
        <w:ind w:left="0" w:firstLine="1440"/>
        <w:jc w:val="both"/>
        <w:rPr>
          <w:rFonts w:ascii="Times New Roman" w:hAnsi="Times New Roman"/>
          <w:lang w:val="pt-BR" w:eastAsia="zh-CN" w:bidi="hi-IN"/>
        </w:rPr>
      </w:pPr>
      <w:r>
        <w:rPr>
          <w:rFonts w:ascii="Times New Roman" w:hAnsi="Times New Roman"/>
          <w:b/>
          <w:sz w:val="24"/>
          <w:u w:val="none"/>
          <w:lang w:val="pt-BR" w:eastAsia="zh-CN" w:bidi="hi-IN"/>
        </w:rPr>
        <w:t xml:space="preserve">CONSIDERANDO </w:t>
      </w:r>
      <w:r>
        <w:rPr>
          <w:rFonts w:ascii="Times New Roman" w:hAnsi="Times New Roman"/>
          <w:b w:val="false"/>
          <w:sz w:val="24"/>
          <w:u w:val="none"/>
          <w:lang w:val="pt-BR" w:eastAsia="zh-CN" w:bidi="hi-IN"/>
        </w:rPr>
        <w:t xml:space="preserve">competir ao Ministério Público no exercício de suas atribuições, emitir </w:t>
      </w:r>
      <w:r>
        <w:rPr>
          <w:rFonts w:ascii="Times New Roman" w:hAnsi="Times New Roman"/>
          <w:b/>
          <w:bCs/>
          <w:sz w:val="24"/>
          <w:u w:val="none"/>
          <w:lang w:val="pt-BR" w:eastAsia="zh-CN" w:bidi="hi-IN"/>
        </w:rPr>
        <w:t>R</w:t>
      </w:r>
      <w:r>
        <w:rPr>
          <w:rFonts w:ascii="Times New Roman" w:hAnsi="Times New Roman"/>
          <w:b/>
          <w:sz w:val="24"/>
          <w:u w:val="none"/>
          <w:lang w:val="pt-BR" w:eastAsia="zh-CN" w:bidi="hi-IN"/>
        </w:rPr>
        <w:t>ecomendações</w:t>
      </w:r>
      <w:r>
        <w:rPr>
          <w:rFonts w:ascii="Times New Roman" w:hAnsi="Times New Roman"/>
          <w:b w:val="false"/>
          <w:sz w:val="24"/>
          <w:u w:val="none"/>
          <w:lang w:val="pt-BR" w:eastAsia="zh-CN" w:bidi="hi-IN"/>
        </w:rPr>
        <w:t xml:space="preserve"> dirigidas ao Poder Público, aos órgãos da Administração Pública, direta e indireta, aos concessionários e permissionários de serviço público, entidades privadas e a entidades que exerçam função pública delegada ou executem serviço de relevância pública (art. 27, par. único. inciso IV, da Lei 8.625/93);</w:t>
      </w:r>
    </w:p>
    <w:p>
      <w:pPr>
        <w:pStyle w:val="Normal"/>
        <w:spacing w:lineRule="auto" w:line="360" w:before="240" w:after="240"/>
        <w:ind w:left="0" w:firstLine="1440"/>
        <w:jc w:val="both"/>
        <w:rPr>
          <w:rFonts w:ascii="Times New Roman" w:hAnsi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bCs w:val="false"/>
          <w:color w:val="00000A"/>
          <w:sz w:val="24"/>
          <w:szCs w:val="24"/>
          <w:lang w:val="pt-BR" w:eastAsia="zh-CN" w:bidi="hi-IN"/>
        </w:rPr>
        <w:t>CONSIDERANDO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h-CN" w:bidi="hi-IN"/>
        </w:rPr>
        <w:t>, por fim, que, nos termos do art. 4º da Resolução nº 164/2017, do Conselho Nacional do Ministério Público, a recomendação pode ser dirigida, de maneira preventiva ou corretiva, preliminar ou definitiva, a qualquer pessoa, física ou jurídica, de direito público ou privado, que tenha condições de fazer ou deixar de fazer alguma coisa para salvaguardar interesses, direitos e bens de que é incumbido zelo ao Ministério Público;</w:t>
      </w:r>
    </w:p>
    <w:p>
      <w:pPr>
        <w:pStyle w:val="Normal"/>
        <w:spacing w:lineRule="auto" w:line="360" w:before="240" w:after="240"/>
        <w:ind w:left="0" w:firstLine="1440"/>
        <w:jc w:val="both"/>
        <w:rPr>
          <w:lang w:val="pt-BR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>RESOLVE RECOMENDAR ao(a) Exmo(a). Prefeito(a) ******** e ao(a) Exmo(a). Secretário(a) Municipal de Educação de</w:t>
      </w:r>
      <w:r>
        <w:rPr>
          <w:rFonts w:eastAsia="Times New Roman" w:cs="Times New Roman" w:ascii="Times New Roman" w:hAnsi="Times New Roman"/>
          <w:b/>
          <w:sz w:val="24"/>
          <w:szCs w:val="24"/>
          <w:shd w:fill="FFFF00" w:val="clear"/>
          <w:lang w:val="pt-BR" w:eastAsia="zh-CN" w:bidi="hi-IN"/>
        </w:rPr>
        <w:t xml:space="preserve"> ********</w:t>
      </w:r>
      <w:r>
        <w:rPr>
          <w:rFonts w:eastAsia="Times New Roman" w:cs="Times New Roman" w:ascii="Times New Roman" w:hAnsi="Times New Roman"/>
          <w:b/>
          <w:sz w:val="24"/>
          <w:szCs w:val="24"/>
          <w:lang w:val="pt-BR" w:eastAsia="zh-CN" w:bidi="hi-IN"/>
        </w:rPr>
        <w:t xml:space="preserve"> que:</w:t>
      </w:r>
    </w:p>
    <w:p>
      <w:pPr>
        <w:pStyle w:val="LOnormal"/>
        <w:widowControl/>
        <w:suppressAutoHyphens w:val="true"/>
        <w:bidi w:val="0"/>
        <w:spacing w:lineRule="auto" w:line="360" w:before="0" w:after="0"/>
        <w:ind w:left="1417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I – Adote as providências administrativas necessárias ao efetivo cumprimento da Lei Federal nº 13.722/2018, contemplando os seguintes pontos, dentre outros que considerar pertinente:</w:t>
      </w:r>
    </w:p>
    <w:p>
      <w:pPr>
        <w:pStyle w:val="LO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984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Cronograma para a disponibilização anual de curso de capacitação e/ou reciclagem de noções básicas de primeiros socorros aos professores e demais profissionais das unidades de ensino da rede pública municipal, sem prejuízo de suas atividades;</w:t>
      </w:r>
    </w:p>
    <w:p>
      <w:pPr>
        <w:pStyle w:val="LO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984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Indicação do quantitativo de profissionais que deverão ser capacitados, devendo tal número ser proporcional ao número de professores e servidores das unidades de ensino e ao fluxo de crianças e adolescentes atendidos em cada unidade exigível;</w:t>
      </w:r>
    </w:p>
    <w:p>
      <w:pPr>
        <w:pStyle w:val="LOnormal"/>
        <w:widowControl/>
        <w:numPr>
          <w:ilvl w:val="0"/>
          <w:numId w:val="1"/>
        </w:numPr>
        <w:suppressAutoHyphens w:val="true"/>
        <w:bidi w:val="0"/>
        <w:spacing w:lineRule="auto" w:line="360" w:before="0" w:after="0"/>
        <w:ind w:left="1984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Conteúdo do curso de primeiros socorros básico condizente com a natureza e a faixa etária do público atendido nos estabelecimentos.</w:t>
      </w:r>
    </w:p>
    <w:p>
      <w:pPr>
        <w:pStyle w:val="LOnormal"/>
        <w:widowControl/>
        <w:numPr>
          <w:ilvl w:val="0"/>
          <w:numId w:val="0"/>
        </w:numPr>
        <w:bidi w:val="0"/>
        <w:spacing w:lineRule="auto" w:line="360" w:before="0" w:after="0"/>
        <w:ind w:left="216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1417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II – As capacitações e/ou reciclagens sejam ministradas por entidades especializadas em práticas de auxílio imediato e emergencial à população juvenil.</w:t>
      </w:r>
    </w:p>
    <w:p>
      <w:pPr>
        <w:pStyle w:val="LO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1417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1417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III – Proceda a aquisição de kits de primeiros socorros, conforme orientação das entidades especializadas em atendimento emergencial à população, a fim de disponibilizar os materiais em todas as unidades da rede.</w:t>
      </w:r>
    </w:p>
    <w:p>
      <w:pPr>
        <w:pStyle w:val="LOnormal"/>
        <w:widowControl/>
        <w:numPr>
          <w:ilvl w:val="0"/>
          <w:numId w:val="0"/>
        </w:numPr>
        <w:suppressAutoHyphens w:val="true"/>
        <w:bidi w:val="0"/>
        <w:spacing w:lineRule="auto" w:line="360" w:before="0" w:after="0"/>
        <w:ind w:left="1417" w:right="0" w:hanging="0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sz w:val="24"/>
          <w:szCs w:val="24"/>
          <w:lang w:val="pt-BR" w:eastAsia="zh-CN" w:bidi="hi-IN"/>
        </w:rPr>
        <w:t>IV – Afixe em local visível de cada unidade municipal a certificação que comprove a realização da capacitação e/ou reciclagem em curso de primeiros socorros, conforme determina o art. 3º, da Lei nº 13.722/2018.</w:t>
      </w:r>
    </w:p>
    <w:p>
      <w:pPr>
        <w:pStyle w:val="LOnormal"/>
        <w:numPr>
          <w:ilvl w:val="0"/>
          <w:numId w:val="0"/>
        </w:numPr>
        <w:spacing w:lineRule="auto" w:line="360"/>
        <w:ind w:left="3960" w:hanging="0"/>
        <w:jc w:val="both"/>
        <w:rPr>
          <w:rFonts w:ascii="Times New Roman" w:hAnsi="Times New Roman" w:eastAsia="Times New Roman" w:cs="Times New Roman"/>
          <w:sz w:val="12"/>
          <w:szCs w:val="12"/>
          <w:lang w:val="pt-BR" w:eastAsia="zh-CN" w:bidi="hi-IN"/>
        </w:rPr>
      </w:pPr>
      <w:r>
        <w:rPr>
          <w:rFonts w:eastAsia="Times New Roman" w:cs="Times New Roman" w:ascii="Times New Roman" w:hAnsi="Times New Roman"/>
          <w:sz w:val="12"/>
          <w:szCs w:val="12"/>
          <w:lang w:val="pt-BR" w:eastAsia="zh-CN" w:bidi="hi-IN"/>
        </w:rPr>
      </w:r>
    </w:p>
    <w:p>
      <w:pPr>
        <w:pStyle w:val="Normal"/>
        <w:spacing w:lineRule="auto" w:line="360" w:before="120" w:after="120"/>
        <w:ind w:left="0" w:right="0" w:firstLine="1133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 w:bidi="hi-IN"/>
        </w:rPr>
        <w:t xml:space="preserve">O Ministério Público Estadual deverá ser comunicado (através dos endereços de e-mail: 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4"/>
          <w:szCs w:val="24"/>
          <w:highlight w:val="yellow"/>
          <w:lang w:val="pt-BR" w:eastAsia="zh-CN" w:bidi="hi-IN"/>
        </w:rPr>
        <w:t>*****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 w:bidi="hi-IN"/>
        </w:rPr>
        <w:t xml:space="preserve">),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highlight w:val="yellow"/>
          <w:lang w:val="pt-BR" w:eastAsia="zh-CN" w:bidi="hi-IN"/>
        </w:rPr>
        <w:t xml:space="preserve">no prazo de </w:t>
      </w:r>
      <w:r>
        <w:rPr>
          <w:rFonts w:eastAsia="Times New Roman" w:cs="Times New Roman" w:ascii="Times New Roman" w:hAnsi="Times New Roman"/>
          <w:b w:val="false"/>
          <w:bCs w:val="false"/>
          <w:color w:val="FF0000"/>
          <w:sz w:val="24"/>
          <w:szCs w:val="24"/>
          <w:highlight w:val="yellow"/>
          <w:lang w:val="pt-BR" w:eastAsia="zh-CN" w:bidi="hi-IN"/>
        </w:rPr>
        <w:t>****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pt-BR" w:eastAsia="zh-CN" w:bidi="hi-IN"/>
        </w:rPr>
        <w:t>, a partir do recebimento da presente, sobre o acolhimento ou não da RECOMENDAÇÃO, com o encaminhamento de documentos hábeis a comprovar a efetivação das medidas, caso positiva a resposta.</w:t>
      </w:r>
    </w:p>
    <w:p>
      <w:pPr>
        <w:pStyle w:val="Normal"/>
        <w:spacing w:lineRule="auto" w:line="360"/>
        <w:ind w:left="0" w:right="0" w:firstLine="1133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  <w:t xml:space="preserve">Encaminhe-se cópia desta Recomendação ao </w:t>
      </w:r>
      <w:r>
        <w:rPr>
          <w:rFonts w:eastAsia="Times New Roman" w:cs="Times New Roman" w:ascii="Times New Roman" w:hAnsi="Times New Roman"/>
          <w:u w:val="single"/>
          <w:lang w:val="pt-BR" w:eastAsia="zh-CN" w:bidi="hi-IN"/>
        </w:rPr>
        <w:t>Centro de Apoio Operacional da Educação - CAOEDUC.</w:t>
      </w:r>
    </w:p>
    <w:p>
      <w:pPr>
        <w:pStyle w:val="Normal"/>
        <w:spacing w:lineRule="auto" w:line="360"/>
        <w:ind w:left="0" w:right="0" w:firstLine="1133"/>
        <w:jc w:val="both"/>
        <w:rPr>
          <w:rFonts w:ascii="Times New Roman" w:hAnsi="Times New Roman" w:eastAsia="Times New Roman" w:cs="Times New Roman"/>
          <w:u w:val="single"/>
          <w:lang w:val="pt-BR" w:eastAsia="zh-CN" w:bidi="hi-IN"/>
        </w:rPr>
      </w:pPr>
      <w:r>
        <w:rPr>
          <w:rFonts w:eastAsia="Times New Roman" w:cs="Times New Roman" w:ascii="Times New Roman" w:hAnsi="Times New Roman"/>
          <w:u w:val="single"/>
          <w:lang w:val="pt-BR" w:eastAsia="zh-CN" w:bidi="hi-IN"/>
        </w:rPr>
      </w:r>
    </w:p>
    <w:p>
      <w:pPr>
        <w:pStyle w:val="Normal"/>
        <w:spacing w:lineRule="auto" w:line="360"/>
        <w:ind w:left="0" w:right="0" w:firstLine="1133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  <w:t>Publique-se no Diário Oficial do MPCE.</w:t>
      </w:r>
    </w:p>
    <w:p>
      <w:pPr>
        <w:pStyle w:val="Normal"/>
        <w:spacing w:lineRule="auto" w:line="360"/>
        <w:ind w:left="0" w:right="0" w:firstLine="1133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Normal"/>
        <w:spacing w:lineRule="auto" w:line="360"/>
        <w:ind w:left="0" w:right="0" w:firstLine="1133"/>
        <w:jc w:val="both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  <w:t>Registre-se.</w:t>
      </w:r>
    </w:p>
    <w:p>
      <w:pPr>
        <w:pStyle w:val="Normal"/>
        <w:spacing w:lineRule="auto" w:line="360"/>
        <w:ind w:left="0" w:right="0" w:firstLine="1133"/>
        <w:jc w:val="both"/>
        <w:rPr>
          <w:rFonts w:ascii="Times New Roman" w:hAnsi="Times New Roman" w:eastAsia="Times New Roman" w:cs="Times New Roman"/>
          <w:lang w:val="pt-BR" w:eastAsia="zh-CN" w:bidi="hi-IN"/>
        </w:rPr>
      </w:pPr>
      <w:r>
        <w:rPr>
          <w:rFonts w:eastAsia="Times New Roman" w:cs="Times New Roman" w:ascii="Times New Roman" w:hAnsi="Times New Roman"/>
          <w:lang w:val="pt-BR" w:eastAsia="zh-CN" w:bidi="hi-IN"/>
        </w:rPr>
      </w:r>
    </w:p>
    <w:p>
      <w:pPr>
        <w:pStyle w:val="Corpodotexto"/>
        <w:spacing w:lineRule="auto" w:line="360"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FF0000"/>
          <w:highlight w:val="yellow"/>
          <w:lang w:val="pt-BR" w:eastAsia="zh-CN" w:bidi="hi-IN"/>
        </w:rPr>
        <w:t>*Local, data.</w:t>
      </w:r>
    </w:p>
    <w:p>
      <w:pPr>
        <w:pStyle w:val="PargrafodaLista"/>
        <w:spacing w:before="0" w:after="0"/>
        <w:ind w:left="0" w:right="0" w:hanging="0"/>
        <w:contextualSpacing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Cs w:val="24"/>
          <w:highlight w:val="yellow"/>
          <w:lang w:val="pt-BR" w:eastAsia="zh-CN" w:bidi="hi-IN"/>
        </w:rPr>
        <w:t xml:space="preserve">********* </w:t>
      </w:r>
    </w:p>
    <w:p>
      <w:pPr>
        <w:pStyle w:val="PargrafodaLista"/>
        <w:spacing w:lineRule="auto" w:line="360" w:before="0" w:after="0"/>
        <w:ind w:left="0" w:right="0" w:hanging="0"/>
        <w:contextualSpacing/>
        <w:jc w:val="center"/>
        <w:rPr>
          <w:lang w:val="pt-BR" w:eastAsia="zh-CN" w:bidi="hi-I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zh-CN" w:bidi="hi-IN"/>
        </w:rPr>
        <w:t>Promotor(a) de Justiça</w:t>
      </w:r>
      <w:r>
        <w:rPr>
          <w:lang w:val="pt-BR" w:eastAsia="zh-CN" w:bidi="hi-IN"/>
        </w:rPr>
        <w:b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1440" w:top="2600" w:footer="600" w:bottom="179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0" w:hanging="0"/>
      <w:jc w:val="left"/>
      <w:rPr>
        <w:rFonts w:ascii="Times New Roman" w:hAnsi="Times New Roman"/>
        <w:sz w:val="20"/>
        <w:szCs w:val="20"/>
      </w:rPr>
    </w:pPr>
    <w:r>
      <w:rPr/>
      <w:drawing>
        <wp:inline distT="0" distB="0" distL="0" distR="0">
          <wp:extent cx="5943600" cy="82550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spacing w:lineRule="auto" w:line="240" w:before="0" w:after="0"/>
      <w:jc w:val="center"/>
      <w:rPr>
        <w:sz w:val="8"/>
        <w:szCs w:val="8"/>
      </w:rPr>
    </w:pPr>
    <w:r>
      <w:rPr>
        <w:sz w:val="8"/>
        <w:szCs w:val="8"/>
      </w:rPr>
    </w:r>
  </w:p>
  <w:p>
    <w:pPr>
      <w:pStyle w:val="Corpodotexto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 xml:space="preserve">** </w:t>
    </w:r>
    <w:r>
      <w:rPr>
        <w:rFonts w:cs="Times New Roman" w:ascii="Times New Roman" w:hAnsi="Times New Roman"/>
        <w:b/>
        <w:sz w:val="20"/>
        <w:szCs w:val="20"/>
        <w:shd w:fill="FFFF00" w:val="clear"/>
      </w:rPr>
      <w:t xml:space="preserve">PROMOTORIA DE JUSTIÇA DE </w:t>
    </w: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shd w:fill="FFFF00" w:val="clear"/>
        <w:lang w:bidi="pt-BR"/>
      </w:rPr>
      <w:t>*************</w:t>
    </w:r>
  </w:p>
  <w:p>
    <w:pPr>
      <w:pStyle w:val="Normal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  <w:highlight w:val="yellow"/>
      </w:rPr>
      <w:t>ENDEREÇO - CEP: ****** – ********-CE</w:t>
    </w:r>
  </w:p>
  <w:p>
    <w:pPr>
      <w:pStyle w:val="Rodap"/>
      <w:spacing w:lineRule="auto" w:line="240"/>
      <w:jc w:val="center"/>
      <w:rPr>
        <w:rFonts w:ascii="Times New Roman" w:hAnsi="Times New Roman"/>
        <w:sz w:val="20"/>
        <w:szCs w:val="20"/>
      </w:rPr>
    </w:pPr>
    <w:r>
      <w:rPr>
        <w:rFonts w:eastAsia="Times New Roman" w:cs="Times New Roman" w:ascii="Times New Roman" w:hAnsi="Times New Roman"/>
        <w:b/>
        <w:bCs/>
        <w:color w:val="C9211E"/>
        <w:sz w:val="20"/>
        <w:szCs w:val="20"/>
        <w:highlight w:val="yellow"/>
        <w:shd w:fill="FFFF00" w:val="clear"/>
        <w:lang w:bidi="pt-BR"/>
      </w:rPr>
      <w:t>e-mail: ***********@mpce.mp.br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5943600" cy="53340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/>
        <w:b/>
        <w:b/>
        <w:highlight w:val="yellow"/>
      </w:rPr>
    </w:pPr>
    <w:r>
      <w:rPr>
        <w:rFonts w:ascii="Times New Roman" w:hAnsi="Times New Roman"/>
        <w:b/>
        <w:highlight w:val="yellow"/>
      </w:rPr>
    </w:r>
  </w:p>
  <w:p>
    <w:pPr>
      <w:pStyle w:val="Cabealho"/>
      <w:jc w:val="center"/>
      <w:rPr/>
    </w:pPr>
    <w:r>
      <w:rPr>
        <w:rFonts w:ascii="Times New Roman" w:hAnsi="Times New Roman"/>
        <w:b/>
        <w:sz w:val="24"/>
        <w:szCs w:val="24"/>
        <w:highlight w:val="yellow"/>
      </w:rPr>
      <w:t>**ª</w:t>
    </w:r>
    <w:r>
      <w:rPr>
        <w:rFonts w:ascii="Times New Roman" w:hAnsi="Times New Roman"/>
        <w:b/>
        <w:sz w:val="24"/>
        <w:szCs w:val="24"/>
      </w:rPr>
      <w:t xml:space="preserve"> </w:t>
    </w:r>
    <w:r>
      <w:rPr>
        <w:rFonts w:eastAsia="Times New Roman" w:cs="Times New Roman" w:ascii="Times New Roman" w:hAnsi="Times New Roman"/>
        <w:b/>
        <w:sz w:val="24"/>
        <w:szCs w:val="24"/>
      </w:rPr>
      <w:t xml:space="preserve">PROMOTORIA DE JUSTIÇA DE </w:t>
    </w:r>
    <w:r>
      <w:rPr>
        <w:rFonts w:eastAsia="Times New Roman" w:cs="Times New Roman" w:ascii="Times New Roman" w:hAnsi="Times New Roman"/>
        <w:b/>
        <w:sz w:val="24"/>
        <w:szCs w:val="24"/>
        <w:highlight w:val="yellow"/>
      </w:rPr>
      <w:t>*****</w:t>
    </w:r>
  </w:p>
  <w:p>
    <w:pPr>
      <w:pStyle w:val="Cabealho"/>
      <w:jc w:val="center"/>
      <w:rPr>
        <w:rFonts w:ascii="Times New Roman" w:hAnsi="Times New Roman" w:eastAsia="Times New Roman" w:cs="Times New Roman"/>
        <w:b/>
        <w:b/>
        <w:highlight w:val="yellow"/>
      </w:rPr>
    </w:pPr>
    <w:r>
      <w:rPr>
        <w:rFonts w:eastAsia="Times New Roman" w:cs="Times New Roman" w:ascii="Times New Roman" w:hAnsi="Times New Roman"/>
        <w:b/>
        <w:highlight w:val="yellow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sz w:val="24"/>
        <w:u w:val="none"/>
        <w:szCs w:val="24"/>
        <w:rFonts w:ascii="Times New Roman" w:hAnsi="Times New Roman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792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sz w:val="24"/>
        <w:spacing w:val="-3"/>
        <w:kern w:val="0"/>
        <w:szCs w:val="24"/>
        <w:rFonts w:eastAsia="Times New Roman" w:cs="Times New Roman"/>
        <w:color w:val="000000"/>
        <w:lang w:eastAsia="pt-BR" w:bidi="pt-B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Notaderodap">
    <w:name w:val="Footnote Text"/>
    <w:basedOn w:val="Normal"/>
    <w:pPr/>
    <w:rPr/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Rodap">
    <w:name w:val="Footer"/>
    <w:basedOn w:val="CabealhoeRodap"/>
    <w:pPr>
      <w:suppressLineNumbers/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>
      <w:szCs w:val="21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Corpodetextorecuado">
    <w:name w:val="Corpo de texto recuado"/>
    <w:qFormat/>
    <w:pPr>
      <w:widowControl/>
      <w:suppressAutoHyphens w:val="true"/>
      <w:bidi w:val="0"/>
      <w:spacing w:lineRule="atLeast" w:line="360" w:before="0" w:after="0"/>
      <w:ind w:firstLine="3969"/>
      <w:jc w:val="both"/>
    </w:pPr>
    <w:rPr>
      <w:rFonts w:ascii="Times New Roman" w:hAnsi="Times New Roman" w:eastAsia="Arial" w:cs="Wingdings"/>
      <w:color w:val="000000"/>
      <w:kern w:val="0"/>
      <w:sz w:val="28"/>
      <w:szCs w:val="24"/>
      <w:lang w:val="en-US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bmp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LibreOffice/7.3.2.2$Windows_X86_64 LibreOffice_project/49f2b1bff42cfccbd8f788c8dc32c1c309559be0</Application>
  <AppVersion>15.0000</AppVersion>
  <Pages>7</Pages>
  <Words>1679</Words>
  <Characters>9480</Characters>
  <CharactersWithSpaces>11121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2023-12-11T17:44:42Z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