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57"/>
        <w:ind w:left="400"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 w:before="0" w:after="57"/>
        <w:ind w:left="400" w:right="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RECOMENDAÇÃO Nº ____/2022</w:t>
      </w:r>
    </w:p>
    <w:p>
      <w:pPr>
        <w:pStyle w:val="Normal"/>
        <w:spacing w:lineRule="auto" w:line="360" w:before="0" w:after="57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369" w:before="0" w:after="40"/>
        <w:jc w:val="both"/>
        <w:rPr/>
      </w:pPr>
      <w:r>
        <w:rPr>
          <w:b/>
          <w:shd w:fill="FFFFFF" w:val="clear"/>
        </w:rPr>
        <w:t>Objeto</w:t>
      </w:r>
      <w:r>
        <w:rPr>
          <w:shd w:fill="FFFFFF" w:val="clear"/>
        </w:rPr>
        <w:t xml:space="preserve">: Recomendar ao município de ______________ e à Secretaria Municipal de Saúde que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>adotem providências para ampla divulgação sobre as medidas a serem adotadas para prevenção ao Monkeypox e</w:t>
      </w:r>
      <w:r>
        <w:rPr>
          <w:lang w:val="pt-BR"/>
        </w:rPr>
        <w:t xml:space="preserve"> sobre locais e respectivos fluxos de atendimento a pacientes suspeitos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, bem como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 xml:space="preserve"> no sentido de proteger os grupos vulneráveis, assim considerados as pessoas imunossuprimidas, as gestantes e as crianças, conforme definido no plano de contingência nacional.</w:t>
      </w:r>
    </w:p>
    <w:p>
      <w:pPr>
        <w:pStyle w:val="Normal"/>
        <w:spacing w:lineRule="auto" w:line="360" w:before="0" w:after="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 w:before="0" w:after="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Corpodotexto"/>
        <w:spacing w:lineRule="auto" w:line="360" w:before="0" w:after="0"/>
        <w:ind w:left="0" w:right="0" w:firstLine="1701"/>
        <w:jc w:val="both"/>
        <w:rPr/>
      </w:pPr>
      <w:r>
        <w:rPr>
          <w:rStyle w:val="Normaltextrun"/>
          <w:b/>
          <w:bCs/>
          <w:color w:val="000000"/>
          <w:shd w:fill="FFFFFF" w:val="clear"/>
        </w:rPr>
        <w:t>O MINISTÉRIO PÚBLICO DO ESTADO DO CEARÁ</w:t>
      </w:r>
      <w:r>
        <w:rPr>
          <w:rStyle w:val="Normaltextrun"/>
          <w:color w:val="000000"/>
          <w:shd w:fill="FFFFFF" w:val="clear"/>
        </w:rPr>
        <w:t>, por intermédio do/a PROMOTOR/A DE JUSTIÇA titular da Promotoria de Justiça da comarca de _____________,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>
        <w:rPr>
          <w:rStyle w:val="Eop"/>
          <w:color w:val="000000"/>
          <w:shd w:fill="FFFFFF" w:val="clear"/>
        </w:rPr>
        <w:t> </w:t>
      </w:r>
    </w:p>
    <w:p>
      <w:pPr>
        <w:pStyle w:val="Corpodotexto"/>
        <w:spacing w:lineRule="auto" w:line="360" w:before="0" w:after="0"/>
        <w:ind w:left="0" w:right="0" w:firstLine="1701"/>
        <w:jc w:val="both"/>
        <w:rPr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a sua garantia (art. 129, inciso II, da CF/88);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que a saúde é direito de todos e dever do Estado, nos termos do art. 196 da Constituição Federal;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b/>
        </w:rPr>
        <w:t xml:space="preserve">CONSIDERANDO </w:t>
      </w:r>
      <w:r>
        <w:rPr/>
        <w:t xml:space="preserve">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b/>
        </w:rPr>
        <w:t>CONSIDERANDO</w:t>
      </w:r>
      <w:r>
        <w:rPr/>
        <w:t xml:space="preserve"> que à direção municipal do Sistema de Saúde (SUS) compete planejar, organizar, controlar e avaliar as ações e os serviços de saúde e gerir e executar os serviços públicos de saúde, como dispõe o art. 18, I da Lei 8.080/90;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</w:t>
      </w:r>
      <w:r>
        <w:rPr/>
        <w:t>que a Monkeypox é uma doença zoonótica viral causada pelo vírus Monkeypox do gênero Orthopoxvirus e família Poxviridae, cuja transmissão para humanos pode ocorrer por meio do contato com animal ou humano infectado ou com material corporal humano contendo o vírus;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</w:t>
      </w:r>
      <w:r>
        <w:rPr/>
        <w:t>que a Organização Mundial da Saúde – OMS declarou no dia 23 de julho de 2022 que o atual surto de varíola dos macacos (monkeypox) constitui uma Emergência de Saúde Pública de Importância Internacional (ESPII);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/>
        <w:t xml:space="preserve"> que a OMS já emitiu alerta sobre casos da doença em países não endêmicos e que o Brasil já registr</w:t>
      </w:r>
      <w:r>
        <w:rPr/>
        <w:t>a casos;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>
          <w:rFonts w:cs="Times New Roman"/>
          <w:color w:val="auto"/>
          <w:lang w:eastAsia="pt-BR"/>
        </w:rPr>
        <w:t xml:space="preserve"> </w:t>
      </w:r>
      <w:r>
        <w:rPr/>
        <w:t>que, no sentido de evitar que haja um estigma e ações contra os Primatas Não Humanos (PNH) “macaco” optou-se por não denominar a doença no Brasil como “Varíola dos macacos”, pois embora tenha se originado em animais desse gênero, o surto atual não tem relação com ele, assim na tentativa de solucionar a situação a orientação dada pela OMS foi utilizar a denominação “Monkeypox”;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/>
        <w:t xml:space="preserve"> que o Centro de Informação Estratégica de Vigilância em Saúde (CIEVS) Nacional, desde o primeiro caso no Reino Unido, em 07 de março de 2022, relatado pela Organização Mundial da Saúde (OMS), elaborou alerta e informe sobre o evento; 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/>
        <w:t xml:space="preserve"> que em 22 de maio de 2022, o CIEVS Nacional emitiu um Comunicado de Risco nº 06 – alerta sobre um alto número de casos de Monkeypox em países não endêmicos, elucida a definição de caso preconizada pela OMS e estabelece processo de notificação imediata, 24 horas, disponível para situações inusitadas, inesperadas ou com alteração importante do perfil epidemiológico;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/>
        <w:t xml:space="preserve"> que o Ministério da Saúde por meio da Sala de Situação, instalada em 23 de maio, monitora as notificações de casos de Monkeypox no mundo e, no Brasil;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  <w:color w:val="auto"/>
          <w:lang w:eastAsia="pt-BR"/>
        </w:rPr>
        <w:t>CONSIDERANDO</w:t>
      </w:r>
      <w:r>
        <w:rPr/>
        <w:t xml:space="preserve"> que a Secretaria de Saúde do Estado do Ceará emitiu a Nota Técnica nº 03, de 19 de junho de 2022</w:t>
      </w:r>
      <w:r>
        <w:rPr>
          <w:rStyle w:val="Ncoradanotaderodap"/>
        </w:rPr>
        <w:footnoteReference w:id="2"/>
      </w:r>
      <w:r>
        <w:rPr/>
        <w:t xml:space="preserve">, por meio do CENTRO DE INFORMAÇÕES ESTRATÉGICAS EM VIGILÂNCIA EM SAÚDE – CIEVS CE,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visando recomendar medidas a serem tomadas pelas equipes de saúde diante de casos suspeitos de Monkeypox, destacando as medidas de vigilância e monitoramento de casos suspeitos, notificação imediata, definição de fluxo de informação, coleta de espécimes para diagnóstico laboratorial e unidades de referência para atendimento de pacientes;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CONSIDERANDO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que o Ministério da Saúde, em 12 de setembro de 2022, publicou a 2ª versão do PLANO DE CONTINGÊNCIA NACIONAL PARA MONKEYPOX</w:t>
      </w:r>
      <w:r>
        <w:rPr>
          <w:rStyle w:val="Ncoradanotaderodap"/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footnoteReference w:id="3"/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 xml:space="preserve"> – documento norteador baseado nas melhores evidências disponíveis, buscando a contenção e controle da monkeypox no País, sendo avaliado e revisado sempre que disponíveis novas evidências científicas, visando reunir informações necessárias para a tomada de decisão dos gestores do SUS;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CONSIDERANDO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zh-CN" w:bidi="ar-SA"/>
        </w:rPr>
        <w:t>que, segundo informações contidas no BOLETIM EPIDEMIOLÓGICO ESPECIAL</w:t>
      </w:r>
      <w:r>
        <w:rPr>
          <w:rStyle w:val="Ncoradanotaderodap"/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zh-CN" w:bidi="ar-SA"/>
        </w:rPr>
        <w:footnoteReference w:id="4"/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zh-CN" w:bidi="ar-SA"/>
        </w:rPr>
        <w:t>, monkeypox, do Centro de Operações de Emergência do Ministério da Saúde, o Brasil já é o terceiro país em número de casos confirmados, e, apesar da maioria dos casos apresentarem sintomas leves, o vírus da monkeypox pode causar doenças graves em grupos populacionais como crianças, gestantes e pessoas imunossuprimidas;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CONSIDERANDO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que no município ___________ já foram identificados casos confirmados;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CONSIDERANDO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que é imprescindível o acompanhamento, pelo Ministério Público, das providências que estão sendo adotadas pelo município de ___________ para o enfrentamento da doença;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b/>
          <w:bCs/>
          <w:lang w:val="pt-BR"/>
        </w:rPr>
        <w:t>CONSIDERANDO</w:t>
      </w:r>
      <w:r>
        <w:rPr/>
        <w:t xml:space="preserve"> </w:t>
      </w:r>
      <w:r>
        <w:rPr>
          <w:lang w:val="pt-BR"/>
        </w:rPr>
        <w:t>que</w:t>
      </w:r>
      <w:r>
        <w:rPr/>
        <w:t xml:space="preserve"> </w:t>
      </w:r>
      <w:r>
        <w:rPr>
          <w:lang w:val="pt-BR"/>
        </w:rPr>
        <w:t>esta Promotoria de Justiça com atribuição na Defesa da Saúde Pública instaurou o Procedimento Administrativo Nº ____________ com a finalidade de acompanhar as providências que estão sendo adotadas pelo Município;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b/>
          <w:bCs/>
          <w:lang w:val="pt-BR"/>
        </w:rPr>
        <w:t>RESOLVE RECOMENDAR</w:t>
      </w:r>
      <w:r>
        <w:rPr>
          <w:lang w:val="pt-BR"/>
        </w:rPr>
        <w:t xml:space="preserve"> ao MUNICÍPIO DE _____________________, nas pessoas de seu Prefeito e de seu Secretário de Saúde, para em prazo imediato: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lang w:val="pt-BR"/>
        </w:rPr>
        <w:t xml:space="preserve">1) Dar ampla divulgação nos meios de comunicação, notadamente nos </w:t>
      </w:r>
      <w:r>
        <w:rPr>
          <w:i/>
          <w:iCs/>
          <w:lang w:val="pt-BR"/>
        </w:rPr>
        <w:t>sites</w:t>
      </w:r>
      <w:r>
        <w:rPr/>
        <w:t xml:space="preserve"> </w:t>
      </w:r>
      <w:r>
        <w:rPr>
          <w:lang w:val="pt-BR"/>
        </w:rPr>
        <w:t>oficiais do ente, rádio</w:t>
      </w:r>
      <w:r>
        <w:rPr>
          <w:lang w:val="pt-BR"/>
        </w:rPr>
        <w:t>s</w:t>
      </w:r>
      <w:r>
        <w:rPr>
          <w:lang w:val="pt-BR"/>
        </w:rPr>
        <w:t xml:space="preserve">, repartições públicas (em especial nos estabelecimentos de saúde), mídias sociais e demais meios de comunicação, sobre as medidas a serem adotadas para prevenção ao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 xml:space="preserve">Monkeypox </w:t>
      </w:r>
      <w:r>
        <w:rPr>
          <w:lang w:val="pt-BR"/>
        </w:rPr>
        <w:t xml:space="preserve">em consonância com o que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está definido</w:t>
      </w:r>
      <w:r>
        <w:rPr>
          <w:lang w:val="pt-BR"/>
        </w:rPr>
        <w:t xml:space="preserve"> pela autoridade sanitária estadual e nacional;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lang w:val="pt-BR"/>
        </w:rPr>
        <w:t xml:space="preserve">2) Dar ampla divulgação sobre locais e respectivos fluxos de atendimento a pacientes suspeitos de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Monkeypox</w:t>
      </w:r>
      <w:r>
        <w:rPr>
          <w:lang w:val="pt-BR"/>
        </w:rPr>
        <w:t>;</w:t>
      </w:r>
    </w:p>
    <w:p>
      <w:pPr>
        <w:pStyle w:val="Corpodotexto"/>
        <w:spacing w:lineRule="auto" w:line="360"/>
        <w:ind w:left="0" w:right="0" w:firstLine="1701"/>
        <w:jc w:val="both"/>
        <w:rPr/>
      </w:pPr>
      <w:r>
        <w:rPr>
          <w:lang w:val="pt-BR"/>
        </w:rPr>
        <w:t>3) Dar ampla publicidade e adotar todas as providências no sentido de proteger os grupos vulneráveis, assim considerados as pessoas imunossuprimidas, as gestantes e as crianças, conforme definido no plano de contingência nacional;</w:t>
      </w:r>
    </w:p>
    <w:p>
      <w:pPr>
        <w:pStyle w:val="Normal"/>
        <w:spacing w:lineRule="auto" w:line="360"/>
        <w:ind w:left="0" w:right="0" w:firstLine="1701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83" w:leader="none"/>
        </w:tabs>
        <w:spacing w:lineRule="auto" w:line="360"/>
        <w:ind w:left="0" w:right="0" w:firstLine="1701"/>
        <w:jc w:val="both"/>
        <w:rPr/>
      </w:pPr>
      <w:r>
        <w:rPr>
          <w:rFonts w:cs="Times New Roman"/>
          <w:b/>
          <w:bCs/>
        </w:rPr>
        <w:t>Remeta-se</w:t>
      </w:r>
      <w:r>
        <w:rPr>
          <w:rFonts w:cs="Times New Roman"/>
        </w:rPr>
        <w:t xml:space="preserve"> a presente RECOMENDAÇÃO para o Prefeito e para </w:t>
      </w:r>
      <w:r>
        <w:rPr>
          <w:shd w:fill="FFFFFF" w:val="clear"/>
        </w:rPr>
        <w:t>a Secretaria Municipal de Saúde</w:t>
      </w:r>
      <w:r>
        <w:rPr>
          <w:rFonts w:cs="Times New Roman"/>
        </w:rPr>
        <w:t xml:space="preserve"> para adoção das providências cabíveis, e ainda para: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3" w:leader="none"/>
        </w:tabs>
        <w:spacing w:lineRule="auto" w:line="360"/>
        <w:ind w:left="720" w:right="0" w:hanging="360"/>
        <w:jc w:val="both"/>
        <w:rPr>
          <w:shd w:fill="FFFFFF" w:val="clear"/>
        </w:rPr>
      </w:pPr>
      <w:r>
        <w:rPr>
          <w:shd w:fill="FFFFFF" w:val="clear"/>
        </w:rPr>
        <w:t>As rádios difusoras do Município para conhecimento da RECOMENDAÇÃO, dando a devida publicidade;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jc w:val="both"/>
        <w:rPr>
          <w:shd w:fill="FFFFFF" w:val="clear"/>
        </w:rPr>
      </w:pPr>
      <w:r>
        <w:rPr>
          <w:shd w:fill="FFFFFF" w:val="clear"/>
        </w:rPr>
        <w:t>O Centro de Apoio Operacional da Saúde - Caosaúde, por meio de sistema informatizado SAJ-MP.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eastAsia="Times New Roman" w:cs="Times New Roman"/>
          <w:b/>
          <w:bCs/>
          <w:shd w:fill="FFFFFF" w:val="clear"/>
        </w:rPr>
        <w:t xml:space="preserve">Requisite-se, </w:t>
      </w:r>
      <w:r>
        <w:rPr>
          <w:rFonts w:eastAsia="Times New Roman" w:cs="Times New Roman"/>
          <w:shd w:fill="FFFFFF" w:val="clear"/>
        </w:rPr>
        <w:t>n</w:t>
      </w:r>
      <w:r>
        <w:rPr>
          <w:rFonts w:eastAsia="Times New Roman" w:cs="Times New Roman"/>
        </w:rPr>
        <w:t xml:space="preserve">a forma do artigo 27, parágrafo único, inciso IV da Lei nº 8.625/93, </w:t>
      </w:r>
      <w:r>
        <w:rPr>
          <w:rFonts w:eastAsia="Times New Roman" w:cs="Times New Roman"/>
          <w:shd w:fill="FFFFFF" w:val="clear"/>
        </w:rPr>
        <w:t xml:space="preserve">ao Prefeito do Município de _________________ e à Secretaria de Saúde, </w:t>
      </w:r>
      <w:r>
        <w:rPr/>
        <w:t>no prazo de 5 (cinco) dias</w:t>
      </w:r>
      <w:r>
        <w:rPr>
          <w:rFonts w:eastAsia="Times New Roman" w:cs="Times New Roman"/>
        </w:rPr>
        <w:t>, comunicar a esta Promotoria, através do e-mail _____________________ as providências adotadas para cumprimento desta RECOMENDAÇÃO.</w:t>
      </w:r>
    </w:p>
    <w:p>
      <w:pPr>
        <w:pStyle w:val="Normal"/>
        <w:spacing w:lineRule="auto" w:line="360"/>
        <w:ind w:left="0" w:right="0" w:firstLine="1701"/>
        <w:jc w:val="both"/>
        <w:rPr/>
      </w:pPr>
      <w:r>
        <w:rPr>
          <w:rFonts w:eastAsia="Times New Roman" w:cs="Times New Roman"/>
        </w:rPr>
        <w:t xml:space="preserve">Ressalta-se que a inobservância da presente Recomendação acarretará a adoção de todas as medidas extrajudiciais e judiciais cabíveis pelo Ministério Público, inclusive, </w:t>
      </w:r>
      <w:r>
        <w:rPr>
          <w:rFonts w:eastAsia="Times New Roman" w:cs="Times New Roman"/>
          <w:bCs/>
        </w:rPr>
        <w:t>o ajuizamento da pertinente Ação Civil Pública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em face de V. Exa. e/ou em face do Agente ou Servidor que a descumprir.</w:t>
      </w:r>
    </w:p>
    <w:p>
      <w:pPr>
        <w:pStyle w:val="Normal"/>
        <w:spacing w:lineRule="auto" w:line="360"/>
        <w:ind w:left="0" w:right="0" w:firstLine="1701"/>
        <w:jc w:val="both"/>
        <w:rPr>
          <w:rFonts w:eastAsia="Times New Roman" w:cs="Times New Roman"/>
          <w:shd w:fill="FFFFFF" w:val="clear"/>
        </w:rPr>
      </w:pPr>
      <w:r>
        <w:rPr>
          <w:rFonts w:eastAsia="Times New Roman" w:cs="Times New Roman"/>
          <w:shd w:fill="FFFFFF" w:val="clear"/>
        </w:rPr>
        <w:t>Publique-se no Diário do MPCE. Registre-se. Arquive-se.</w:t>
      </w:r>
    </w:p>
    <w:p>
      <w:pPr>
        <w:pStyle w:val="Normal"/>
        <w:spacing w:lineRule="auto" w:line="360"/>
        <w:jc w:val="center"/>
        <w:rPr>
          <w:rFonts w:eastAsia="Times New Roman" w:cs="Times New Roman"/>
          <w:shd w:fill="FFFFFF" w:val="clear"/>
        </w:rPr>
      </w:pPr>
      <w:r>
        <w:rPr>
          <w:rFonts w:eastAsia="Times New Roman" w:cs="Times New Roman"/>
          <w:shd w:fill="FFFFFF" w:val="clear"/>
        </w:rPr>
      </w:r>
    </w:p>
    <w:p>
      <w:pPr>
        <w:pStyle w:val="Normal"/>
        <w:suppressAutoHyphens w:val="false"/>
        <w:spacing w:lineRule="auto" w:line="360"/>
        <w:jc w:val="center"/>
        <w:rPr>
          <w:rFonts w:eastAsia="Times New Roman" w:cs="Times New Roman"/>
          <w:shd w:fill="FFFFFF" w:val="clear"/>
        </w:rPr>
      </w:pPr>
      <w:r>
        <w:rPr>
          <w:rFonts w:eastAsia="Times New Roman" w:cs="Times New Roman"/>
          <w:shd w:fill="FFFFFF" w:val="clear"/>
        </w:rPr>
      </w:r>
    </w:p>
    <w:p>
      <w:pPr>
        <w:pStyle w:val="Normal"/>
        <w:suppressAutoHyphens w:val="false"/>
        <w:spacing w:lineRule="auto" w:line="360"/>
        <w:jc w:val="center"/>
        <w:rPr>
          <w:rFonts w:eastAsia="Times New Roman" w:cs="Times New Roman"/>
          <w:shd w:fill="FFFFFF" w:val="clear"/>
        </w:rPr>
      </w:pPr>
      <w:r>
        <w:rPr>
          <w:rFonts w:eastAsia="Times New Roman" w:cs="Times New Roman"/>
          <w:shd w:fill="FFFFFF" w:val="clear"/>
        </w:rPr>
        <w:t>Promotor de justiça</w:t>
      </w:r>
    </w:p>
    <w:p>
      <w:pPr>
        <w:pStyle w:val="Normal"/>
        <w:suppressAutoHyphens w:val="false"/>
        <w:spacing w:lineRule="auto" w:line="360"/>
        <w:jc w:val="center"/>
        <w:rPr>
          <w:rFonts w:eastAsia="Times New Roman" w:cs="Times New Roman"/>
          <w:shd w:fill="FFFFFF" w:val="clear"/>
        </w:rPr>
      </w:pPr>
      <w:r>
        <w:rPr>
          <w:rFonts w:eastAsia="Times New Roman" w:cs="Times New Roman"/>
          <w:shd w:fill="FFFFFF" w:val="clear"/>
        </w:rPr>
        <w:t>município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88" w:top="1417" w:footer="76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/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 xml:space="preserve">Disponível em: </w:t>
      </w:r>
      <w:hyperlink r:id="rId1">
        <w:r>
          <w:rPr>
            <w:rStyle w:val="LinkdaInternet"/>
          </w:rPr>
          <w:t>https://www.saude.ce.gov.br/wp-content/uploads/sites/9/2018/06/NT_monkeypox_19062022.pdf</w:t>
        </w:r>
      </w:hyperlink>
      <w:r>
        <w:rPr/>
        <w:t xml:space="preserve"> Acesso em: 13 de setembro de 2022.</w:t>
      </w:r>
    </w:p>
  </w:footnote>
  <w:footnote w:id="3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Disponível em: </w:t>
      </w:r>
      <w:hyperlink r:id="rId2">
        <w:r>
          <w:rPr>
            <w:rStyle w:val="LinkdaInternet"/>
          </w:rPr>
          <w:t>https://www.gov.br/saude/pt-br/composicao/svs/resposta-a-emergencias/coes/monkeypox/plano-de-contingencia/plano-de-contingencia</w:t>
        </w:r>
      </w:hyperlink>
      <w:r>
        <w:rPr/>
        <w:t xml:space="preserve"> Acesso em: 13/09/2022</w:t>
      </w:r>
    </w:p>
  </w:footnote>
  <w:footnote w:id="4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 xml:space="preserve">Disponível em </w:t>
      </w:r>
      <w:hyperlink r:id="rId3">
        <w:r>
          <w:rPr>
            <w:rStyle w:val="LinkdaInternet"/>
          </w:rPr>
          <w:t>https://www.gov.br/saude/pt-br/centrais-de-conteudo/publicacoes/boletins/epidemiologicos/variola-dos-macacos/boletim-epidemiologico-de-monkeypox-no-11-coe/view</w:t>
        </w:r>
      </w:hyperlink>
      <w:r>
        <w:rPr/>
        <w:t>. Acesso em 13/09/2022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right="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right="0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right="0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1">
    <w:name w:val="Fonte parág. padrão1"/>
    <w:qFormat/>
    <w:rPr/>
  </w:style>
  <w:style w:type="character" w:styleId="Txttitleblack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>
    <w:name w:val="noticias-titulos1"/>
    <w:basedOn w:val="Fontepargpadro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pellingerrorscx168548192">
    <w:name w:val="spellingerror scx168548192"/>
    <w:basedOn w:val="Fontepargpadro3"/>
    <w:qFormat/>
    <w:rPr/>
  </w:style>
  <w:style w:type="character" w:styleId="Normaltextrunscx168548192">
    <w:name w:val="normaltextrun scx168548192"/>
    <w:basedOn w:val="Fontepargpadro3"/>
    <w:qFormat/>
    <w:rPr/>
  </w:style>
  <w:style w:type="character" w:styleId="Appleconvertedspace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basedOn w:val="DefaultParagraphFont"/>
    <w:qFormat/>
    <w:rPr>
      <w:kern w:val="2"/>
      <w:sz w:val="24"/>
      <w:szCs w:val="24"/>
      <w:lang w:eastAsia="zh-CN"/>
    </w:rPr>
  </w:style>
  <w:style w:type="character" w:styleId="TextodenotaderodapChar">
    <w:name w:val="Texto de nota de rodapé Char"/>
    <w:basedOn w:val="DefaultParagraphFont"/>
    <w:qFormat/>
    <w:rPr>
      <w:rFonts w:ascii="Calibri" w:hAnsi="Calibri" w:eastAsia="Calibri" w:cs="Arial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Linkdainternetvisitado">
    <w:name w:val="Link da internet visitado"/>
    <w:rPr>
      <w:color w:val="954F72"/>
      <w:u w:val="single"/>
    </w:rPr>
  </w:style>
  <w:style w:type="character" w:styleId="Eop">
    <w:name w:val="eop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1701" w:right="0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>
    <w:name w:val="Recuo de corpo de texto 31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>
    <w:name w:val="Recuo de corpo de texto 21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>
    <w:name w:val="noticias-descricao"/>
    <w:basedOn w:val="Normal"/>
    <w:qFormat/>
    <w:pPr>
      <w:spacing w:before="100" w:after="100"/>
    </w:pPr>
    <w:rPr/>
  </w:style>
  <w:style w:type="paragraph" w:styleId="Recuodecorpodetexto22">
    <w:name w:val="Recuo de corpo de texto 22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>
    <w:name w:val="Recuo de corpo de texto 32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taderodap">
    <w:name w:val="Footnote Text"/>
    <w:basedOn w:val="Normal"/>
    <w:pPr>
      <w:suppressAutoHyphens w:val="false"/>
    </w:pPr>
    <w:rPr>
      <w:rFonts w:ascii="Calibri" w:hAnsi="Calibri" w:eastAsia="Calibri" w:cs="Arial"/>
      <w:kern w:val="0"/>
      <w:sz w:val="20"/>
      <w:szCs w:val="20"/>
      <w:lang w:eastAsia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saude.ce.gov.br/wp-content/uploads/sites/9/2018/06/NT_monkeypox_19062022.pdf" TargetMode="External"/><Relationship Id="rId2" Type="http://schemas.openxmlformats.org/officeDocument/2006/relationships/hyperlink" Target="https://www.gov.br/saude/pt-br/composicao/svs/resposta-a-emergencias/coes/monkeypox/plano-de-contingencia/plano-de-contingencia" TargetMode="External"/><Relationship Id="rId3" Type="http://schemas.openxmlformats.org/officeDocument/2006/relationships/hyperlink" Target="https://www.gov.br/saude/pt-br/centrais-de-conteudo/publicacoes/boletins/epidemiologicos/variola-dos-macacos/boletim-epidemiologico-de-monkeypox-no-11-coe/view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6" ma:contentTypeDescription="Crie um novo documento." ma:contentTypeScope="" ma:versionID="86642ef00e39832e157865fe1f95e3a9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531378b45db6c7dd0b612b26e5f0dac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D7ABC-0AFE-495A-B0CD-B7A5A47C5C01}"/>
</file>

<file path=customXml/itemProps2.xml><?xml version="1.0" encoding="utf-8"?>
<ds:datastoreItem xmlns:ds="http://schemas.openxmlformats.org/officeDocument/2006/customXml" ds:itemID="{45E1E4C7-2D2E-4BEC-9C11-D3C69D616D57}"/>
</file>

<file path=customXml/itemProps3.xml><?xml version="1.0" encoding="utf-8"?>
<ds:datastoreItem xmlns:ds="http://schemas.openxmlformats.org/officeDocument/2006/customXml" ds:itemID="{8782F39F-AB7D-44C5-9124-8EE1308C4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LibreOffice/7.1.5.2$Windows_X86_64 LibreOffice_project/85f04e9f809797b8199d13c421bd8a2b025d52b5</Application>
  <AppVersion>15.0000</AppVersion>
  <Pages>5</Pages>
  <Words>1324</Words>
  <Characters>7760</Characters>
  <CharactersWithSpaces>9058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2021-08-30T17:31:00Z</dcterms:created>
  <dc:creator>rafael.assuncao</dc:creator>
  <dc:description/>
  <dc:language>pt-BR</dc:language>
  <cp:lastModifiedBy/>
  <cp:lastPrinted>2019-01-16T00:34:00Z</cp:lastPrinted>
  <dcterms:modified xsi:type="dcterms:W3CDTF">2022-09-14T08:34:25Z</dcterms:modified>
  <cp:revision>12</cp:revision>
  <dc:subject/>
  <dc:title>PROCESSO Nº 01394068-6: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Order">
    <vt:r8>544200</vt:r8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display_urn:schemas-microsoft-com:office:office#Author">
    <vt:lpwstr>Roberto Bruno Pereira Silva</vt:lpwstr>
  </property>
  <property fmtid="{D5CDD505-2E9C-101B-9397-08002B2CF9AE}" pid="10" name="display_urn:schemas-microsoft-com:office:office#Editor">
    <vt:lpwstr>Roberto Bruno Pereira Silva</vt:lpwstr>
  </property>
  <property fmtid="{D5CDD505-2E9C-101B-9397-08002B2CF9AE}" pid="11" name="xd_ProgID">
    <vt:lpwstr/>
  </property>
  <property fmtid="{D5CDD505-2E9C-101B-9397-08002B2CF9AE}" pid="12" name="xd_Signature">
    <vt:bool>0</vt:bool>
  </property>
</Properties>
</file>