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 w:before="0" w:after="57"/>
        <w:ind w:left="400" w:hanging="0"/>
        <w:jc w:val="center"/>
        <w:rPr/>
      </w:pPr>
      <w:bookmarkStart w:id="0" w:name="_Hlk84842633"/>
      <w:r>
        <w:rPr>
          <w:rFonts w:cs="Times New Roman"/>
          <w:b/>
        </w:rPr>
        <w:t>RECOMENDAÇÃO Nº ____/2022</w:t>
      </w:r>
    </w:p>
    <w:p>
      <w:pPr>
        <w:pStyle w:val="Normal"/>
        <w:spacing w:lineRule="auto" w:line="240" w:before="0" w:after="40"/>
        <w:jc w:val="both"/>
        <w:rPr>
          <w:b/>
          <w:b/>
          <w:shd w:fill="FFFFFF" w:val="clear"/>
        </w:rPr>
      </w:pPr>
      <w:r>
        <w:rPr>
          <w:b/>
          <w:shd w:fill="FFFFFF" w:val="clear"/>
        </w:rPr>
      </w:r>
    </w:p>
    <w:p>
      <w:pPr>
        <w:pStyle w:val="Normal"/>
        <w:spacing w:lineRule="auto" w:line="360" w:before="0" w:after="40"/>
        <w:jc w:val="both"/>
        <w:rPr/>
      </w:pPr>
      <w:r>
        <w:rPr>
          <w:b/>
          <w:shd w:fill="FFFFFF" w:val="clear"/>
        </w:rPr>
        <w:t>Objeto</w:t>
      </w:r>
      <w:r>
        <w:rPr>
          <w:shd w:fill="FFFFFF" w:val="clear"/>
        </w:rPr>
        <w:t xml:space="preserve">: Recomendar ao município de ______________ e à Secretaria Municipal de Saúde que adotem providências para informatização de toda a Atenção Primária à Saúde (APS) do município, com disponibilização de computador e </w:t>
      </w:r>
      <w:r>
        <w:rPr>
          <w:i/>
          <w:iCs/>
          <w:shd w:fill="FFFFFF" w:val="clear"/>
        </w:rPr>
        <w:t>internet</w:t>
      </w:r>
      <w:r>
        <w:rPr>
          <w:shd w:fill="FFFFFF" w:val="clear"/>
        </w:rPr>
        <w:t xml:space="preserve"> em todas as Unidades Básicas de Saúde </w:t>
      </w:r>
      <w:r>
        <w:rPr>
          <w:shd w:fill="FFFFFF" w:val="clear"/>
        </w:rPr>
        <w:t>e Unidades de Saúde da Família</w:t>
      </w:r>
      <w:r>
        <w:rPr>
          <w:shd w:fill="FFFFFF" w:val="clear"/>
        </w:rPr>
        <w:t>, para a correta alimentação dos sistemas e acompanhamento da saúde da população.</w:t>
      </w:r>
    </w:p>
    <w:p>
      <w:pPr>
        <w:pStyle w:val="Normal"/>
        <w:spacing w:lineRule="atLeast" w:line="369" w:before="0" w:after="40"/>
        <w:jc w:val="both"/>
        <w:rPr/>
      </w:pPr>
      <w:r>
        <w:rPr/>
      </w:r>
    </w:p>
    <w:p>
      <w:pPr>
        <w:pStyle w:val="Corpodotexto"/>
        <w:spacing w:lineRule="auto" w:line="360" w:before="0" w:after="0"/>
        <w:ind w:firstLine="1701"/>
        <w:jc w:val="both"/>
        <w:rPr>
          <w:rStyle w:val="Eop"/>
          <w:color w:val="000000"/>
          <w:shd w:fill="FFFFFF" w:val="clear"/>
        </w:rPr>
      </w:pPr>
      <w:r>
        <w:rPr>
          <w:rStyle w:val="Normaltextrun"/>
          <w:b/>
          <w:bCs/>
          <w:color w:val="000000"/>
          <w:shd w:fill="FFFFFF" w:val="clear"/>
        </w:rPr>
        <w:t>O MINISTÉRIO PÚBLICO DO ESTADO DO CEARÁ</w:t>
      </w:r>
      <w:r>
        <w:rPr>
          <w:rStyle w:val="Normaltextrun"/>
          <w:color w:val="000000"/>
          <w:shd w:fill="FFFFFF" w:val="clear"/>
        </w:rPr>
        <w:t>, por intermédio do PROMOTOR DE JUSTIÇA titular da Promotoria de Justiça da comarca de _____________, no uso das atribuições que lhe são conferidas pelos artigos 129, incisos III, VI e IX, da Constituição Federal de 1988; artigo 26, inciso I, e alíneas, da Lei Federal nº 8.625/93, e atendendo às determinações constantes da Resolução nº 036/2016 do OECPJ/CE; </w:t>
      </w:r>
      <w:r>
        <w:rPr>
          <w:rStyle w:val="Eop"/>
          <w:color w:val="000000"/>
          <w:shd w:fill="FFFFFF" w:val="clear"/>
        </w:rPr>
        <w:t> </w:t>
      </w:r>
    </w:p>
    <w:p>
      <w:pPr>
        <w:pStyle w:val="Corpodotexto"/>
        <w:spacing w:lineRule="auto" w:line="360" w:before="0" w:after="0"/>
        <w:ind w:firstLine="1701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CONSIDERANDO</w:t>
      </w:r>
      <w:r>
        <w:rPr>
          <w:rFonts w:cs="Times New Roman"/>
          <w:color w:val="000000"/>
        </w:rPr>
        <w:t xml:space="preserve"> que, a teor do art. 27, parágrafo único, inciso IV, da Lei Federal 8.625/93, Lei Orgânica Nacional do Ministério Público (LONMP), cabe ao Ministério Público exercer a defesa dos direitos assegurados nas Constituições Federal e Estadual, sempre que se cuidar de garantir-lhes o respeito pelos poderes estaduais ou municipais e, no exercício dessas atribuições, promover Ações Civis Públicas, Inquéritos Civis, Procedimentos Administrativos, Recomendações dirigidas a órgãos e entidades, requisitando ao destinatário sua divulgação adequada e imediata, assim como resposta por escrito;</w:t>
      </w:r>
    </w:p>
    <w:p>
      <w:pPr>
        <w:pStyle w:val="Normal"/>
        <w:spacing w:lineRule="auto" w:line="360"/>
        <w:ind w:firstLine="1701"/>
        <w:jc w:val="both"/>
        <w:rPr>
          <w:sz w:val="20"/>
        </w:rPr>
      </w:pPr>
      <w:r>
        <w:rPr>
          <w:b/>
        </w:rPr>
        <w:t>CONSIDERANDO</w:t>
      </w:r>
      <w:r>
        <w:rPr/>
        <w:t xml:space="preserve"> que é função institucional do Ministério Público zelar pelo efetivo respeito dos serviços de relevância pública aos direitos assegurados na Constituição Federal, em especial, aos relativos à saúde (art. 197, da CF/88), promovendo todas as medidas necessárias à sua garantia (art. 129, inciso II, da CF/88);</w:t>
      </w:r>
    </w:p>
    <w:p>
      <w:pPr>
        <w:pStyle w:val="Normal"/>
        <w:spacing w:lineRule="auto" w:line="360"/>
        <w:ind w:firstLine="1701"/>
        <w:jc w:val="both"/>
        <w:rPr/>
      </w:pPr>
      <w:r>
        <w:rPr>
          <w:b/>
          <w:bCs/>
        </w:rPr>
        <w:t>CONSIDERANDO</w:t>
      </w:r>
      <w:r>
        <w:rPr/>
        <w:t xml:space="preserve"> que o princípio constitucional da universalidade determina que “a saúde é direito de todos e dever do Estado, garantido mediante políticas sociais e econômicas que visem à redução do risco de doença e de outros agravos e ao acesso universal e igualitário às ações e serviços para sua promoção, proteção e recuperação” (art. 196 da CF);</w:t>
      </w:r>
    </w:p>
    <w:p>
      <w:pPr>
        <w:pStyle w:val="Normal"/>
        <w:spacing w:lineRule="auto" w:line="360"/>
        <w:ind w:firstLine="1701"/>
        <w:jc w:val="both"/>
        <w:rPr/>
      </w:pPr>
      <w:r>
        <w:rPr>
          <w:b/>
          <w:bCs/>
        </w:rPr>
        <w:t>CONSIDERANDO</w:t>
      </w:r>
      <w:r>
        <w:rPr/>
        <w:t xml:space="preserve"> os objetivos do Sistema Único de Saúde (SUS), assim definidos na Lei federal nº 8.080, de 19 de setembro de 1990, denominada Lei Orgânica da Saúde (LOS), de que a assistência às pessoas deve ser dispensada por intermédio de ações de promoção, proteção e recuperação da saúde, com a realização integrada das ações assistenciais e das atividades preventivas; </w:t>
      </w:r>
    </w:p>
    <w:p>
      <w:pPr>
        <w:pStyle w:val="Normal"/>
        <w:spacing w:lineRule="auto" w:line="360"/>
        <w:ind w:firstLine="1701"/>
        <w:jc w:val="both"/>
        <w:rPr/>
      </w:pPr>
      <w:r>
        <w:rPr>
          <w:b/>
          <w:bCs/>
        </w:rPr>
        <w:t>CONSIDERANDO</w:t>
      </w:r>
      <w:r>
        <w:rPr/>
        <w:t xml:space="preserve"> que o Decreto nº 7.508/2011 (regulamento da Lei </w:t>
      </w:r>
      <w:r>
        <w:rPr/>
        <w:t>F</w:t>
      </w:r>
      <w:r>
        <w:rPr/>
        <w:t xml:space="preserve">ederal nº 8.080/90), estabelece que o acesso universal, igualitário e ordenado às ações e serviços de saúde das Redes de Atenção à Saúde se inicia pelas Portas de Entrada do SUS e se completa na rede regionalizada e hierarquizada, de acordo com a complexidade do serviço, artigo 8º; </w:t>
      </w:r>
    </w:p>
    <w:p>
      <w:pPr>
        <w:pStyle w:val="Normal"/>
        <w:spacing w:lineRule="auto" w:line="360"/>
        <w:ind w:firstLine="1701"/>
        <w:jc w:val="both"/>
        <w:rPr/>
      </w:pPr>
      <w:r>
        <w:rPr>
          <w:b/>
          <w:bCs/>
        </w:rPr>
        <w:t>CONSIDERANDO</w:t>
      </w:r>
      <w:r>
        <w:rPr/>
        <w:t xml:space="preserve"> que uma Atenção Básica bem estruturada faz com que se reduzam filas nos prontos-socorros e hospitais, além de se evitar o consumo abusivo de medicamentos e gasto indiscriminado com equipamentos de alta tecnologia;</w:t>
      </w:r>
    </w:p>
    <w:p>
      <w:pPr>
        <w:pStyle w:val="Normal"/>
        <w:spacing w:lineRule="auto" w:line="360"/>
        <w:ind w:firstLine="1701"/>
        <w:jc w:val="both"/>
        <w:rPr/>
      </w:pPr>
      <w:r>
        <w:rPr>
          <w:b/>
          <w:bCs/>
        </w:rPr>
        <w:t>CONSIDERANDO</w:t>
      </w:r>
      <w:r>
        <w:rPr/>
        <w:t xml:space="preserve"> que “compete aos Municípios prestar, com a cooperação técnica e financeira da União e do Estado, serviços de atendimento à saúde da população” (art. 30, VII, da CF);</w:t>
      </w:r>
    </w:p>
    <w:p>
      <w:pPr>
        <w:pStyle w:val="Normal"/>
        <w:spacing w:lineRule="auto" w:line="360"/>
        <w:ind w:firstLine="1701"/>
        <w:jc w:val="both"/>
        <w:rPr/>
      </w:pPr>
      <w:r>
        <w:rPr>
          <w:b/>
          <w:bCs/>
        </w:rPr>
        <w:t>CONSIDERANDO</w:t>
      </w:r>
      <w:r>
        <w:rPr/>
        <w:t xml:space="preserve"> que os dados do Ministério da Saúde apontam que pelo menos 85% dos problemas de saúde da população brasileira podem ser resolvidos no âmbito da Atenção Básica;</w:t>
      </w:r>
    </w:p>
    <w:p>
      <w:pPr>
        <w:pStyle w:val="Normal"/>
        <w:spacing w:lineRule="auto" w:line="360"/>
        <w:ind w:firstLine="1701"/>
        <w:jc w:val="both"/>
        <w:rPr>
          <w:rFonts w:cs="Times New Roman"/>
          <w:color w:val="auto"/>
          <w:lang w:eastAsia="pt-BR"/>
        </w:rPr>
      </w:pPr>
      <w:r>
        <w:rPr>
          <w:rFonts w:cs="Times New Roman"/>
          <w:b/>
          <w:bCs/>
          <w:color w:val="auto"/>
          <w:lang w:eastAsia="pt-BR"/>
        </w:rPr>
        <w:t>CONSIDERANDO</w:t>
      </w:r>
      <w:r>
        <w:rPr>
          <w:rFonts w:cs="Times New Roman"/>
          <w:color w:val="auto"/>
          <w:lang w:eastAsia="pt-BR"/>
        </w:rPr>
        <w:t xml:space="preserve"> o </w:t>
      </w:r>
      <w:r>
        <w:rPr>
          <w:rFonts w:cs="Times New Roman"/>
          <w:b/>
          <w:bCs/>
          <w:color w:val="auto"/>
          <w:lang w:eastAsia="pt-BR"/>
        </w:rPr>
        <w:t xml:space="preserve">Programa de Apoio à Informatização e Qualificação dos Dados da Atenção Primária à Saúde - </w:t>
      </w:r>
      <w:hyperlink r:id="rId2">
        <w:r>
          <w:rPr>
            <w:rStyle w:val="LinkdaInternet"/>
            <w:rFonts w:cs="Times New Roman"/>
            <w:b/>
            <w:bCs/>
            <w:lang w:eastAsia="pt-BR"/>
          </w:rPr>
          <w:t>Informatiza APS</w:t>
        </w:r>
      </w:hyperlink>
      <w:r>
        <w:rPr>
          <w:rFonts w:cs="Times New Roman"/>
          <w:color w:val="auto"/>
          <w:lang w:eastAsia="pt-BR"/>
        </w:rPr>
        <w:t>, instituído pela Portaria nº 2.983, de 11 de novembro de 2019, por meio da alteração das Portarias de Consolidação nº 5/GM/MS e nº 6/GM/MS, de 28 de setembro de 2017;</w:t>
      </w:r>
    </w:p>
    <w:p>
      <w:pPr>
        <w:pStyle w:val="Normal"/>
        <w:spacing w:lineRule="auto" w:line="360"/>
        <w:ind w:firstLine="1701"/>
        <w:jc w:val="both"/>
        <w:rPr>
          <w:rFonts w:cs="Times New Roman"/>
        </w:rPr>
      </w:pPr>
      <w:r>
        <w:rPr>
          <w:rFonts w:cs="Times New Roman"/>
          <w:b/>
          <w:bCs/>
          <w:color w:val="auto"/>
          <w:lang w:eastAsia="pt-BR"/>
        </w:rPr>
        <w:t>CONSIDERANDO</w:t>
      </w:r>
      <w:r>
        <w:rPr>
          <w:rFonts w:cs="Times New Roman"/>
          <w:color w:val="auto"/>
          <w:lang w:eastAsia="pt-BR"/>
        </w:rPr>
        <w:t xml:space="preserve"> que o </w:t>
      </w:r>
      <w:r>
        <w:rPr>
          <w:rFonts w:cs="Times New Roman"/>
          <w:b/>
          <w:bCs/>
          <w:color w:val="auto"/>
          <w:lang w:eastAsia="pt-BR"/>
        </w:rPr>
        <w:t>Informatiza APS</w:t>
      </w:r>
      <w:r>
        <w:rPr>
          <w:rFonts w:cs="Times New Roman"/>
          <w:color w:val="auto"/>
          <w:lang w:eastAsia="pt-BR"/>
        </w:rPr>
        <w:t xml:space="preserve"> faz parte da estratégia de saúde digital do Ministério da Saúde, </w:t>
      </w:r>
      <w:r>
        <w:rPr>
          <w:rFonts w:cs="Times New Roman"/>
          <w:b/>
          <w:bCs/>
          <w:color w:val="auto"/>
          <w:lang w:eastAsia="pt-BR"/>
        </w:rPr>
        <w:t>o Conecte SUS,</w:t>
      </w:r>
      <w:r>
        <w:rPr>
          <w:rFonts w:cs="Times New Roman"/>
          <w:color w:val="auto"/>
          <w:lang w:eastAsia="pt-BR"/>
        </w:rPr>
        <w:t xml:space="preserve"> e vai apoiar a informatização das unidades de saúde e a qualificação dos dados da Atenção Primária à Saúde de todo o país, com investimento na tecnologia da informação para subsidiar a gestão dos serviços de saúde e a melhoria da clínica;</w:t>
      </w:r>
      <w:bookmarkEnd w:id="0"/>
    </w:p>
    <w:p>
      <w:pPr>
        <w:pStyle w:val="Normal"/>
        <w:spacing w:lineRule="auto" w:line="360"/>
        <w:ind w:firstLine="1701"/>
        <w:jc w:val="both"/>
        <w:rPr>
          <w:rFonts w:cs="Times New Roman"/>
        </w:rPr>
      </w:pPr>
      <w:r>
        <w:rPr>
          <w:rFonts w:cs="Times New Roman"/>
          <w:b/>
          <w:bCs/>
          <w:color w:val="auto"/>
          <w:lang w:eastAsia="pt-BR"/>
        </w:rPr>
        <w:t>CONSIDERANDO</w:t>
      </w:r>
      <w:r>
        <w:rPr>
          <w:rFonts w:cs="Times New Roman"/>
          <w:color w:val="auto"/>
          <w:lang w:eastAsia="pt-BR"/>
        </w:rPr>
        <w:t xml:space="preserve"> que o Governo do Estado do Ceará </w:t>
      </w:r>
      <w:r>
        <w:rPr>
          <w:rFonts w:eastAsia="SimSun;宋体" w:cs="Times New Roman"/>
          <w:color w:val="auto"/>
          <w:kern w:val="2"/>
          <w:sz w:val="24"/>
          <w:lang w:eastAsia="pt-BR"/>
        </w:rPr>
        <w:t xml:space="preserve">anunciou a compra e </w:t>
      </w:r>
      <w:r>
        <w:rPr>
          <w:rFonts w:cs="Times New Roman"/>
          <w:color w:val="auto"/>
          <w:lang w:eastAsia="pt-BR"/>
        </w:rPr>
        <w:t>entrega de 2.</w:t>
      </w:r>
      <w:r>
        <w:rPr>
          <w:rFonts w:eastAsia="SimSun;宋体" w:cs="Times New Roman"/>
          <w:color w:val="auto"/>
          <w:kern w:val="2"/>
          <w:sz w:val="24"/>
          <w:lang w:eastAsia="pt-BR"/>
        </w:rPr>
        <w:t>188</w:t>
      </w:r>
      <w:r>
        <w:rPr>
          <w:rFonts w:cs="Times New Roman"/>
          <w:color w:val="auto"/>
          <w:lang w:eastAsia="pt-BR"/>
        </w:rPr>
        <w:t xml:space="preserve"> (dois mil, </w:t>
      </w:r>
      <w:r>
        <w:rPr>
          <w:rFonts w:eastAsia="SimSun;宋体" w:cs="Times New Roman"/>
          <w:color w:val="auto"/>
          <w:kern w:val="2"/>
          <w:sz w:val="24"/>
          <w:lang w:eastAsia="pt-BR"/>
        </w:rPr>
        <w:t>cento e oitenta e oito</w:t>
      </w:r>
      <w:r>
        <w:rPr>
          <w:rFonts w:cs="Times New Roman"/>
          <w:color w:val="auto"/>
          <w:lang w:eastAsia="pt-BR"/>
        </w:rPr>
        <w:t>) computadores para modernizar os equipamentos de Atenção Básica de saúde dos municípios;</w:t>
      </w:r>
    </w:p>
    <w:p>
      <w:pPr>
        <w:pStyle w:val="Normal"/>
        <w:spacing w:lineRule="auto" w:line="360"/>
        <w:ind w:firstLine="1701"/>
        <w:jc w:val="both"/>
        <w:rPr>
          <w:rFonts w:cs="Times New Roman"/>
        </w:rPr>
      </w:pPr>
      <w:r>
        <w:rPr>
          <w:rFonts w:cs="Times New Roman"/>
          <w:b/>
          <w:bCs/>
          <w:color w:val="auto"/>
          <w:lang w:eastAsia="pt-BR"/>
        </w:rPr>
        <w:t>CONSIDERANDO</w:t>
      </w:r>
      <w:r>
        <w:rPr>
          <w:rFonts w:cs="Times New Roman"/>
          <w:color w:val="auto"/>
          <w:lang w:eastAsia="pt-BR"/>
        </w:rPr>
        <w:t xml:space="preserve"> que o </w:t>
      </w:r>
      <w:hyperlink r:id="rId3">
        <w:r>
          <w:rPr>
            <w:rStyle w:val="LinkdaInternet"/>
            <w:rFonts w:cs="Times New Roman"/>
            <w:color w:val="auto"/>
            <w:lang w:eastAsia="pt-BR"/>
          </w:rPr>
          <w:t>Decreto Estadual nº 34.580</w:t>
        </w:r>
      </w:hyperlink>
      <w:r>
        <w:rPr>
          <w:rFonts w:cs="Times New Roman"/>
          <w:color w:val="auto"/>
          <w:lang w:eastAsia="pt-BR"/>
        </w:rPr>
        <w:t>, de 17 de março de 2022, autorizou a doação dos referidos computadores, com indicação da quantidade a ser destinada a cada município, nos termos do anexo único do referido decreto.</w:t>
      </w:r>
    </w:p>
    <w:p>
      <w:pPr>
        <w:pStyle w:val="Normal"/>
        <w:spacing w:lineRule="auto" w:line="360"/>
        <w:ind w:firstLine="1701"/>
        <w:jc w:val="both"/>
        <w:rPr>
          <w:rFonts w:cs="Times New Roman"/>
          <w:color w:val="70AD47" w:themeColor="accent6"/>
          <w:lang w:eastAsia="pt-BR"/>
        </w:rPr>
      </w:pPr>
      <w:r>
        <w:rPr>
          <w:rFonts w:cs="Times New Roman"/>
          <w:b/>
          <w:bCs/>
          <w:lang w:eastAsia="pt-BR"/>
        </w:rPr>
        <w:t>CONSIDERANDO</w:t>
      </w:r>
      <w:r>
        <w:rPr>
          <w:rFonts w:cs="Times New Roman"/>
          <w:lang w:eastAsia="pt-BR"/>
        </w:rPr>
        <w:t xml:space="preserve"> o </w:t>
      </w:r>
      <w:r>
        <w:rPr>
          <w:rFonts w:cs="Times New Roman"/>
          <w:shd w:fill="FFFF00" w:val="clear"/>
          <w:lang w:eastAsia="pt-BR"/>
        </w:rPr>
        <w:t>Procedimento Administrativo n.º ______________</w:t>
      </w:r>
      <w:r>
        <w:rPr>
          <w:rFonts w:cs="Times New Roman"/>
          <w:lang w:eastAsia="pt-BR"/>
        </w:rPr>
        <w:t xml:space="preserve"> instaurado para </w:t>
      </w:r>
      <w:r>
        <w:rPr>
          <w:rFonts w:cs="Arial"/>
          <w:shd w:fill="FFFFFF" w:val="clear"/>
          <w:lang w:eastAsia="pt-BR"/>
        </w:rPr>
        <w:t>a estruturação da</w:t>
      </w:r>
      <w:r>
        <w:rPr>
          <w:rFonts w:cs="Times New Roman"/>
          <w:lang w:eastAsia="pt-BR"/>
        </w:rPr>
        <w:t xml:space="preserve"> Atenção Primária à Saúde (APS), especialmente, quanto à informatização de toda a Rede, bem como quanto ao cadastro virtual da população atendida, e acompanhamento de resultados e qualidade das ações de saúde realizadas – nos termos da Portaria nº 2.979/2019/GM/MS – que define indicadores de desempenho para repasse de verbas do Ministério da Saúde;</w:t>
      </w:r>
    </w:p>
    <w:p>
      <w:pPr>
        <w:pStyle w:val="Normal"/>
        <w:spacing w:lineRule="auto" w:line="360" w:before="0" w:after="40"/>
        <w:ind w:firstLine="1701"/>
        <w:jc w:val="both"/>
        <w:rPr>
          <w:rFonts w:eastAsia="Times New Roman" w:cs="Times New Roman"/>
        </w:rPr>
      </w:pPr>
      <w:r>
        <w:rPr>
          <w:rStyle w:val="Fontepargpadro"/>
          <w:rFonts w:eastAsia="Times New Roman" w:cs="Times New Roman"/>
          <w:b/>
          <w:bCs/>
        </w:rPr>
        <w:t>RESOLVE RECOMENDAR</w:t>
      </w:r>
      <w:r>
        <w:rPr>
          <w:rStyle w:val="Fontepargpadro"/>
          <w:rFonts w:eastAsia="Times New Roman" w:cs="Times New Roman"/>
        </w:rPr>
        <w:t xml:space="preserve"> a/o Exmo/a. Sr/a. Prefeito/a de ___________ e a/o Sr/a. ______________, Secretário/a Municipal de Saúde, Órgão Gestor do SUS, bem como a quem venha lhe suceder ou substituir no seu respectivo cargo da saúde pública,</w:t>
      </w:r>
      <w:r>
        <w:rPr/>
        <w:t xml:space="preserve"> a adoção das seguintes providências </w:t>
      </w:r>
      <w:r>
        <w:rPr>
          <w:shd w:fill="FFFFFF" w:val="clear"/>
        </w:rPr>
        <w:t xml:space="preserve">para informatização de toda a Atenção Primária à Saúde do município, com disponibilização de computador e </w:t>
      </w:r>
      <w:r>
        <w:rPr>
          <w:i/>
          <w:iCs/>
          <w:shd w:fill="FFFFFF" w:val="clear"/>
        </w:rPr>
        <w:t>internet</w:t>
      </w:r>
      <w:r>
        <w:rPr>
          <w:shd w:fill="FFFFFF" w:val="clear"/>
        </w:rPr>
        <w:t xml:space="preserve"> em todos as Unidades Básicas de Saúde </w:t>
      </w:r>
      <w:r>
        <w:rPr>
          <w:shd w:fill="FFFFFF" w:val="clear"/>
        </w:rPr>
        <w:t>e Unidades de Saúde da Família</w:t>
      </w:r>
      <w:r>
        <w:rPr>
          <w:shd w:fill="FFFFFF" w:val="clear"/>
        </w:rPr>
        <w:t>, para a correta alimentação dos sistemas e acompanhamento da saúde da população</w:t>
      </w:r>
      <w:r>
        <w:rPr/>
        <w:t>, especialmente:</w:t>
      </w:r>
    </w:p>
    <w:p>
      <w:pPr>
        <w:pStyle w:val="Normal"/>
        <w:numPr>
          <w:ilvl w:val="0"/>
          <w:numId w:val="2"/>
        </w:numPr>
        <w:spacing w:lineRule="auto" w:line="360"/>
        <w:ind w:left="709" w:firstLine="170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Providencie, caso ainda não o tenha feito, a retirada dos novos computadores doados pelo Governo do Estado, junto à Secretaria-Executiva Administrativo-financeira – SEAFI / Coordenadoria Administrativa – COADM, informando ao Ministério Público </w:t>
      </w:r>
      <w:r>
        <w:rPr>
          <w:rFonts w:eastAsia="Times New Roman" w:cs="Times New Roman"/>
          <w:color w:val="00000A"/>
          <w:kern w:val="2"/>
          <w:sz w:val="24"/>
        </w:rPr>
        <w:t>em quais unidades de saúde</w:t>
      </w:r>
      <w:r>
        <w:rPr>
          <w:rFonts w:eastAsia="Times New Roman" w:cs="Times New Roman"/>
        </w:rPr>
        <w:t xml:space="preserve"> serão alocados os novos equipamentos.</w:t>
      </w:r>
    </w:p>
    <w:p>
      <w:pPr>
        <w:pStyle w:val="Normal"/>
        <w:numPr>
          <w:ilvl w:val="0"/>
          <w:numId w:val="2"/>
        </w:numPr>
        <w:spacing w:lineRule="auto" w:line="360"/>
        <w:ind w:left="709" w:firstLine="170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Realização de adequação dos sistemas e adesão, no portal </w:t>
      </w:r>
      <w:hyperlink r:id="rId4">
        <w:r>
          <w:rPr>
            <w:rStyle w:val="LinkdaInternet"/>
            <w:rFonts w:eastAsia="Times New Roman" w:cs="Times New Roman"/>
          </w:rPr>
          <w:t>e-Gestor AB</w:t>
        </w:r>
      </w:hyperlink>
      <w:r>
        <w:rPr>
          <w:rFonts w:eastAsia="Times New Roman" w:cs="Times New Roman"/>
        </w:rPr>
        <w:t xml:space="preserve">, ao </w:t>
      </w:r>
      <w:r>
        <w:rPr>
          <w:rFonts w:eastAsia="Times New Roman" w:cs="Times New Roman"/>
          <w:b/>
          <w:bCs/>
        </w:rPr>
        <w:t>Programa Informatiza APS</w:t>
      </w:r>
      <w:r>
        <w:rPr>
          <w:rFonts w:eastAsia="Times New Roman" w:cs="Times New Roman"/>
        </w:rPr>
        <w:t>, conforme instruções do Ministério da Saúde, com alimentação do Prontuário Eletrônico dos usuários, informando ao Ministério Público a relação das Equipes de Saúde da Família (eSF) e Equipes de Atenção Primária (eAP) informatizadas e cadastradas no programa;</w:t>
      </w:r>
    </w:p>
    <w:p>
      <w:pPr>
        <w:pStyle w:val="Normal"/>
        <w:numPr>
          <w:ilvl w:val="0"/>
          <w:numId w:val="2"/>
        </w:numPr>
        <w:spacing w:lineRule="auto" w:line="360"/>
        <w:ind w:left="709" w:firstLine="170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Aquisição de computadores e </w:t>
      </w:r>
      <w:r>
        <w:rPr>
          <w:rFonts w:eastAsia="Times New Roman" w:cs="Times New Roman"/>
          <w:i/>
          <w:iCs/>
        </w:rPr>
        <w:t>internet</w:t>
      </w:r>
      <w:r>
        <w:rPr>
          <w:rFonts w:eastAsia="Times New Roman" w:cs="Times New Roman"/>
        </w:rPr>
        <w:t xml:space="preserve"> para as unidades que ainda não possuem, conforme possibilidade de repasse de verbas do programa, e integração das unidades ao Cinturão Digital, onde for possível.</w:t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360"/>
        <w:ind w:firstLine="170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Requisite-se, na forma do artigo 27, parágrafo único, inciso IV da Lei nº 8.625/93, ao Prefeito e à Secretaria Municipal de Saúde, no prazo de </w:t>
      </w:r>
      <w:r>
        <w:rPr>
          <w:rFonts w:eastAsia="Times New Roman" w:cs="Times New Roman"/>
          <w:color w:val="00000A"/>
          <w:kern w:val="2"/>
          <w:sz w:val="24"/>
        </w:rPr>
        <w:t>30 (trinta)</w:t>
      </w:r>
      <w:r>
        <w:rPr>
          <w:rFonts w:eastAsia="Times New Roman" w:cs="Times New Roman"/>
        </w:rPr>
        <w:t xml:space="preserve"> dias, o encaminhamento das seguintes informações organizadas em tabela, planilha ou outra forma equivalente para comparação dos dados:</w:t>
      </w:r>
    </w:p>
    <w:p>
      <w:pPr>
        <w:pStyle w:val="Normal"/>
        <w:numPr>
          <w:ilvl w:val="0"/>
          <w:numId w:val="3"/>
        </w:numPr>
        <w:spacing w:lineRule="auto" w:line="360"/>
        <w:ind w:left="709" w:firstLine="19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Número e relação de Unidades Básicas de Saúde/ Postos informatizados, incluindo número de computadores de cada posto que estão funcionando, quais as unidades que possuem </w:t>
      </w:r>
      <w:r>
        <w:rPr>
          <w:rFonts w:eastAsia="Times New Roman" w:cs="Times New Roman"/>
          <w:i/>
          <w:iCs/>
        </w:rPr>
        <w:t xml:space="preserve">internet </w:t>
      </w:r>
      <w:r>
        <w:rPr>
          <w:rFonts w:eastAsia="Times New Roman" w:cs="Times New Roman"/>
        </w:rPr>
        <w:t xml:space="preserve">e se todos os computadores da unidade estão ligados à </w:t>
      </w:r>
      <w:r>
        <w:rPr>
          <w:rFonts w:eastAsia="Times New Roman" w:cs="Times New Roman"/>
          <w:i/>
          <w:iCs/>
        </w:rPr>
        <w:t>internet</w:t>
      </w:r>
      <w:r>
        <w:rPr>
          <w:rFonts w:eastAsia="Times New Roman" w:cs="Times New Roman"/>
        </w:rPr>
        <w:t>, quais sistemas utilizados em cada unidade e se estão atualizados; destacando ainda o número de unidades que ainda não possuem acesso.</w:t>
      </w:r>
    </w:p>
    <w:p>
      <w:pPr>
        <w:pStyle w:val="Normal"/>
        <w:spacing w:lineRule="auto" w:line="360"/>
        <w:ind w:firstLine="170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Remeta-se a presente RECOMENDAÇÃO ao Prefeito Municipal, o Secretário de Saúde do município de ____________, e ainda para: </w:t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a) as rádios difusoras do Município para conhecimento da RECOMENDAÇÃO, dando a devida publicidade; 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</w:rPr>
        <w:t xml:space="preserve">b) o Centro de Apoio Operacional da Saúde – Caosaúde, por meio de sistema informatizado. </w:t>
      </w:r>
    </w:p>
    <w:p>
      <w:pPr>
        <w:pStyle w:val="Normal"/>
        <w:spacing w:lineRule="auto" w:line="360"/>
        <w:ind w:firstLine="1701"/>
        <w:jc w:val="both"/>
        <w:rPr/>
      </w:pPr>
      <w:r>
        <w:rPr>
          <w:rFonts w:eastAsia="Times New Roman" w:cs="Times New Roman"/>
        </w:rPr>
        <w:t xml:space="preserve">Publique-se no Diário do MPCE. Registre-se. Arquive-se. </w:t>
      </w:r>
    </w:p>
    <w:p>
      <w:pPr>
        <w:pStyle w:val="Normal"/>
        <w:spacing w:lineRule="auto" w:line="36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/>
        </w:rPr>
        <w:t xml:space="preserve">Município, data. </w:t>
      </w:r>
    </w:p>
    <w:p>
      <w:pPr>
        <w:pStyle w:val="Normal"/>
        <w:spacing w:lineRule="auto" w:line="36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Promotor de Justiça</w:t>
      </w:r>
    </w:p>
    <w:p>
      <w:pPr>
        <w:pStyle w:val="Normal"/>
        <w:spacing w:lineRule="auto" w:line="360"/>
        <w:ind w:firstLine="1701"/>
        <w:jc w:val="both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701" w:right="1134" w:header="1134" w:top="3119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imesNewRomanPSMT">
    <w:charset w:val="00"/>
    <w:family w:val="roman"/>
    <w:pitch w:val="variable"/>
  </w:font>
  <w:font w:name="TimesNewRomanPS-BoldMT">
    <w:charset w:val="00"/>
    <w:family w:val="roman"/>
    <w:pitch w:val="variable"/>
  </w:font>
  <w:font w:name="TimesNewRomanPS-Italic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Arial" w:hAnsi="Arial" w:cs="Arial"/>
        <w:b/>
        <w:b/>
        <w:bCs/>
        <w:sz w:val="16"/>
        <w:szCs w:val="16"/>
        <w:u w:val="single"/>
      </w:rPr>
    </w:pPr>
    <w:r>
      <w:rPr/>
      <w:drawing>
        <wp:inline distT="0" distB="0" distL="0" distR="0">
          <wp:extent cx="6121400" cy="63500"/>
          <wp:effectExtent l="0" t="0" r="0" b="0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6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Rodap"/>
      <w:jc w:val="center"/>
      <w:rPr>
        <w:rFonts w:ascii="Arial" w:hAnsi="Arial" w:cs="Arial"/>
        <w:b/>
        <w:b/>
        <w:bCs/>
        <w:sz w:val="16"/>
        <w:szCs w:val="16"/>
        <w:u w:val="single"/>
      </w:rPr>
    </w:pPr>
    <w:r>
      <w:rPr>
        <w:rFonts w:cs="Arial" w:ascii="Arial" w:hAnsi="Arial"/>
        <w:b/>
        <w:bCs/>
        <w:sz w:val="16"/>
        <w:szCs w:val="16"/>
        <w:u w:val="single"/>
      </w:rPr>
      <w:t>Promotoria de Justiça da Comarca de _______________</w:t>
    </w:r>
  </w:p>
  <w:p>
    <w:pPr>
      <w:pStyle w:val="Rodap"/>
      <w:jc w:val="center"/>
      <w:rPr/>
    </w:pPr>
    <w:r>
      <w:rPr>
        <w:rFonts w:cs="Arial" w:ascii="Arial" w:hAnsi="Arial"/>
        <w:sz w:val="16"/>
        <w:szCs w:val="16"/>
        <w:shd w:fill="FFFFFF" w:val="clear"/>
      </w:rPr>
      <w:t xml:space="preserve">endereço / </w:t>
    </w:r>
    <w:r>
      <w:rPr>
        <w:rStyle w:val="LinkdaInternet"/>
        <w:rFonts w:cs="Arial" w:ascii="Arial" w:hAnsi="Arial"/>
        <w:sz w:val="16"/>
        <w:szCs w:val="16"/>
        <w:u w:val="none"/>
      </w:rPr>
      <w:t xml:space="preserve">contato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240"/>
      <w:rPr>
        <w:rFonts w:cs="Times New Roman"/>
        <w:b/>
        <w:b/>
      </w:rPr>
    </w:pPr>
    <w:r>
      <w:rPr/>
      <w:drawing>
        <wp:inline distT="0" distB="0" distL="0" distR="0">
          <wp:extent cx="5803900" cy="533400"/>
          <wp:effectExtent l="0" t="0" r="0" b="0"/>
          <wp:docPr id="1" name="ole_rI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le_rI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orpodotexto"/>
      <w:spacing w:lineRule="auto" w:line="240" w:before="0" w:after="57"/>
      <w:jc w:val="center"/>
      <w:rPr>
        <w:rFonts w:cs="Times New Roman"/>
        <w:b/>
        <w:b/>
      </w:rPr>
    </w:pPr>
    <w:r>
      <w:rPr>
        <w:rFonts w:cs="Times New Roman"/>
        <w:b/>
      </w:rPr>
      <w:t>MINISTÉRIO PÚBLICO DO ESTADO DO CEARÁ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421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2421" w:hanging="360"/>
      </w:pPr>
      <w:rPr>
        <w:rFonts w:eastAsia="SimSun;宋体" w:cs="Mang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81" w:hanging="720"/>
      </w:pPr>
      <w:rPr>
        <w:rFonts w:eastAsia="SimSun;宋体" w:cs="Mang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720"/>
      </w:pPr>
      <w:rPr>
        <w:rFonts w:eastAsia="SimSun;宋体" w:cs="Manga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1" w:hanging="1080"/>
      </w:pPr>
      <w:rPr>
        <w:rFonts w:eastAsia="SimSun;宋体" w:cs="Manga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41" w:hanging="1080"/>
      </w:pPr>
      <w:rPr>
        <w:rFonts w:eastAsia="SimSun;宋体" w:cs="Manga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1" w:hanging="1440"/>
      </w:pPr>
      <w:rPr>
        <w:rFonts w:eastAsia="SimSun;宋体" w:cs="Manga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01" w:hanging="1440"/>
      </w:pPr>
      <w:rPr>
        <w:rFonts w:eastAsia="SimSun;宋体" w:cs="Manga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61" w:hanging="1800"/>
      </w:pPr>
      <w:rPr>
        <w:rFonts w:eastAsia="SimSun;宋体" w:cs="Manga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242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14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8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7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4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81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isplayBackgroundShape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uiPriority w:val="9"/>
    <w:qFormat/>
    <w:pPr>
      <w:widowControl w:val="false"/>
      <w:numPr>
        <w:ilvl w:val="0"/>
        <w:numId w:val="1"/>
      </w:numPr>
      <w:suppressAutoHyphens w:val="true"/>
      <w:bidi w:val="0"/>
      <w:spacing w:before="0" w:after="0"/>
      <w:jc w:val="left"/>
      <w:outlineLvl w:val="0"/>
    </w:pPr>
    <w:rPr>
      <w:rFonts w:ascii="Liberation Serif" w:hAnsi="Liberation Serif" w:eastAsia="SimSun" w:cs="Arial"/>
      <w:b/>
      <w:bCs/>
      <w:color w:val="auto"/>
      <w:kern w:val="0"/>
      <w:sz w:val="20"/>
      <w:szCs w:val="24"/>
      <w:lang w:val="pt-BR" w:eastAsia="zh-CN" w:bidi="hi-IN"/>
    </w:rPr>
  </w:style>
  <w:style w:type="paragraph" w:styleId="Ttulo2">
    <w:name w:val="Heading 2"/>
    <w:uiPriority w:val="9"/>
    <w:semiHidden/>
    <w:unhideWhenUsed/>
    <w:qFormat/>
    <w:pPr>
      <w:widowControl w:val="false"/>
      <w:numPr>
        <w:ilvl w:val="1"/>
        <w:numId w:val="1"/>
      </w:numPr>
      <w:suppressAutoHyphens w:val="true"/>
      <w:bidi w:val="0"/>
      <w:spacing w:before="0" w:after="0"/>
      <w:jc w:val="left"/>
      <w:outlineLvl w:val="1"/>
    </w:pPr>
    <w:rPr>
      <w:rFonts w:ascii="Liberation Serif" w:hAnsi="Liberation Serif" w:eastAsia="SimSun" w:cs="Arial"/>
      <w:b/>
      <w:bCs/>
      <w:i/>
      <w:iCs/>
      <w:color w:val="auto"/>
      <w:kern w:val="0"/>
      <w:sz w:val="20"/>
      <w:szCs w:val="24"/>
      <w:lang w:val="pt-BR" w:eastAsia="zh-CN" w:bidi="hi-IN"/>
    </w:rPr>
  </w:style>
  <w:style w:type="paragraph" w:styleId="Ttulo3">
    <w:name w:val="Heading 3"/>
    <w:uiPriority w:val="9"/>
    <w:semiHidden/>
    <w:unhideWhenUsed/>
    <w:qFormat/>
    <w:pPr>
      <w:widowControl w:val="false"/>
      <w:numPr>
        <w:ilvl w:val="2"/>
        <w:numId w:val="1"/>
      </w:numPr>
      <w:suppressAutoHyphens w:val="true"/>
      <w:bidi w:val="0"/>
      <w:spacing w:before="0" w:after="0"/>
      <w:jc w:val="left"/>
      <w:outlineLvl w:val="2"/>
    </w:pPr>
    <w:rPr>
      <w:rFonts w:ascii="Liberation Serif" w:hAnsi="Liberation Serif" w:eastAsia="SimSun" w:cs="Arial"/>
      <w:b/>
      <w:bCs/>
      <w:color w:val="auto"/>
      <w:kern w:val="0"/>
      <w:sz w:val="20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2z1" w:customStyle="1">
    <w:name w:val="WW8Num2z1"/>
    <w:qFormat/>
    <w:rPr>
      <w:rFonts w:ascii="Symbol" w:hAnsi="Symbol" w:cs="Symbol"/>
      <w:lang w:val="pt-BR" w:eastAsia="pt-BR" w:bidi="pt-BR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DefaultParagraphFont" w:customStyle="1">
    <w:name w:val="WW-Default Paragraph Font"/>
    <w:qFormat/>
    <w:rPr/>
  </w:style>
  <w:style w:type="character" w:styleId="WWDefaultParagraphFont1" w:customStyle="1">
    <w:name w:val="WW-Default Paragraph Font1"/>
    <w:qFormat/>
    <w:rPr/>
  </w:style>
  <w:style w:type="character" w:styleId="DefaultParagraphFont1" w:customStyle="1">
    <w:name w:val="Default Paragraph Font1"/>
    <w:qFormat/>
    <w:rPr/>
  </w:style>
  <w:style w:type="character" w:styleId="Marcas" w:customStyle="1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Nfaseforte" w:customStyle="1">
    <w:name w:val="Ênfase forte"/>
    <w:basedOn w:val="DefaultParagraphFont"/>
    <w:qFormat/>
    <w:rPr>
      <w:b/>
      <w:bCs/>
    </w:rPr>
  </w:style>
  <w:style w:type="character" w:styleId="Normaltextrunscx168548192" w:customStyle="1">
    <w:name w:val="normaltextrun scx168548192"/>
    <w:basedOn w:val="DefaultParagraphFont"/>
    <w:qFormat/>
    <w:rPr/>
  </w:style>
  <w:style w:type="character" w:styleId="Spellingerrorscx168548192" w:customStyle="1">
    <w:name w:val="spellingerror scx168548192"/>
    <w:basedOn w:val="DefaultParagraphFont"/>
    <w:qFormat/>
    <w:rPr/>
  </w:style>
  <w:style w:type="character" w:styleId="Nfase">
    <w:name w:val="Ênfase"/>
    <w:qFormat/>
    <w:rPr>
      <w:i/>
      <w:iCs/>
    </w:rPr>
  </w:style>
  <w:style w:type="character" w:styleId="Caracteresdenotaderodap" w:customStyle="1">
    <w:name w:val="Caracteres de nota de rodapé"/>
    <w:qFormat/>
    <w:rPr>
      <w:vertAlign w:val="superscript"/>
    </w:rPr>
  </w:style>
  <w:style w:type="character" w:styleId="LinkdaInternet">
    <w:name w:val="Link da Internet"/>
    <w:basedOn w:val="DefaultParagraphFont"/>
    <w:uiPriority w:val="99"/>
    <w:unhideWhenUsed/>
    <w:rsid w:val="002622da"/>
    <w:rPr>
      <w:color w:val="0000FF"/>
      <w:u w:val="single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2622da"/>
    <w:rPr>
      <w:color w:val="954F72" w:themeColor="followedHyperlink"/>
      <w:u w:val="single"/>
    </w:rPr>
  </w:style>
  <w:style w:type="character" w:styleId="Ncoradanotaderodap" w:customStyle="1">
    <w:name w:val="Âncora da nota de rodapé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nhideWhenUsed/>
    <w:qFormat/>
    <w:rsid w:val="006406ff"/>
    <w:rPr>
      <w:vertAlign w:val="superscript"/>
    </w:rPr>
  </w:style>
  <w:style w:type="character" w:styleId="Caracteresdenotadefim" w:customStyle="1">
    <w:name w:val="Caracteres de nota de fim"/>
    <w:qFormat/>
    <w:rPr>
      <w:vertAlign w:val="superscript"/>
    </w:rPr>
  </w:style>
  <w:style w:type="character" w:styleId="WWCaracteresdenotadefim" w:customStyle="1">
    <w:name w:val="WW-Caracteres de nota de fim"/>
    <w:qFormat/>
    <w:rPr/>
  </w:style>
  <w:style w:type="character" w:styleId="Ncoradanotadefim" w:customStyle="1">
    <w:name w:val="Âncora da nota de fim"/>
    <w:rPr>
      <w:vertAlign w:val="superscript"/>
    </w:rPr>
  </w:style>
  <w:style w:type="character" w:styleId="Smbolosdenumerao" w:customStyle="1">
    <w:name w:val="Símbolos de numeração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355f12"/>
    <w:rPr>
      <w:color w:val="605E5C"/>
      <w:shd w:fill="E1DFDD" w:val="clear"/>
    </w:rPr>
  </w:style>
  <w:style w:type="character" w:styleId="Fontstyle01" w:customStyle="1">
    <w:name w:val="fontstyle01"/>
    <w:basedOn w:val="DefaultParagraphFont"/>
    <w:qFormat/>
    <w:rsid w:val="00355f12"/>
    <w:rPr>
      <w:rFonts w:ascii="TimesNewRomanPSMT" w:hAnsi="TimesNewRomanPSMT"/>
      <w:b w:val="false"/>
      <w:bCs w:val="false"/>
      <w:i w:val="false"/>
      <w:iCs w:val="false"/>
      <w:color w:val="00000A"/>
      <w:sz w:val="24"/>
      <w:szCs w:val="24"/>
    </w:rPr>
  </w:style>
  <w:style w:type="character" w:styleId="Fontstyle21" w:customStyle="1">
    <w:name w:val="fontstyle21"/>
    <w:basedOn w:val="DefaultParagraphFont"/>
    <w:qFormat/>
    <w:rsid w:val="00355f12"/>
    <w:rPr>
      <w:rFonts w:ascii="TimesNewRomanPS-BoldMT" w:hAnsi="TimesNewRomanPS-BoldMT"/>
      <w:b/>
      <w:bCs/>
      <w:i w:val="false"/>
      <w:iCs w:val="false"/>
      <w:color w:val="00000A"/>
      <w:sz w:val="24"/>
      <w:szCs w:val="24"/>
    </w:rPr>
  </w:style>
  <w:style w:type="character" w:styleId="Fontstyle31" w:customStyle="1">
    <w:name w:val="fontstyle31"/>
    <w:basedOn w:val="DefaultParagraphFont"/>
    <w:qFormat/>
    <w:rsid w:val="00355f12"/>
    <w:rPr>
      <w:rFonts w:ascii="TimesNewRomanPS-ItalicMT" w:hAnsi="TimesNewRomanPS-ItalicMT"/>
      <w:b w:val="false"/>
      <w:bCs w:val="false"/>
      <w:i/>
      <w:iCs/>
      <w:color w:val="000000"/>
      <w:sz w:val="24"/>
      <w:szCs w:val="24"/>
    </w:rPr>
  </w:style>
  <w:style w:type="character" w:styleId="Normaltextrun" w:customStyle="1">
    <w:name w:val="normaltextrun"/>
    <w:basedOn w:val="DefaultParagraphFont"/>
    <w:qFormat/>
    <w:rsid w:val="007b6229"/>
    <w:rPr/>
  </w:style>
  <w:style w:type="character" w:styleId="Eop" w:customStyle="1">
    <w:name w:val="eop"/>
    <w:basedOn w:val="DefaultParagraphFont"/>
    <w:qFormat/>
    <w:rsid w:val="007b6229"/>
    <w:rPr/>
  </w:style>
  <w:style w:type="character" w:styleId="TextodenotaderodapChar" w:customStyle="1">
    <w:name w:val="Texto de nota de rodapé Char"/>
    <w:basedOn w:val="DefaultParagraphFont"/>
    <w:link w:val="Textodenotaderodap"/>
    <w:uiPriority w:val="99"/>
    <w:qFormat/>
    <w:rsid w:val="009605b4"/>
    <w:rPr>
      <w:rFonts w:ascii="Times New Roman" w:hAnsi="Times New Roman" w:eastAsia="SimSun;宋体" w:cs="Mangal"/>
      <w:color w:val="00000A"/>
      <w:kern w:val="2"/>
      <w:szCs w:val="20"/>
    </w:rPr>
  </w:style>
  <w:style w:type="character" w:styleId="CorpodetextoChar" w:customStyle="1">
    <w:name w:val="Corpo de texto Char"/>
    <w:basedOn w:val="DefaultParagraphFont"/>
    <w:link w:val="Corpodetexto"/>
    <w:qFormat/>
    <w:rsid w:val="00cb1cca"/>
    <w:rPr>
      <w:rFonts w:ascii="Times New Roman" w:hAnsi="Times New Roman" w:eastAsia="SimSun;宋体" w:cs="Mangal"/>
      <w:color w:val="00000A"/>
      <w:kern w:val="2"/>
      <w:sz w:val="24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pPr>
      <w:spacing w:before="0" w:after="57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next w:val="Corpodotexto"/>
    <w:uiPriority w:val="10"/>
    <w:qFormat/>
    <w:pPr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SimSun" w:cs="Arial"/>
      <w:b/>
      <w:bCs/>
      <w:color w:val="auto"/>
      <w:kern w:val="0"/>
      <w:sz w:val="36"/>
      <w:szCs w:val="36"/>
      <w:lang w:val="pt-BR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aption0" w:customStyle="1">
    <w:name w:val="Caption0"/>
    <w:basedOn w:val="Normal"/>
    <w:qFormat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  <w:style w:type="paragraph" w:styleId="WWCaption" w:customStyle="1">
    <w:name w:val="WW-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Ttulo11"/>
    <w:uiPriority w:val="11"/>
    <w:qFormat/>
    <w:pPr>
      <w:jc w:val="center"/>
    </w:pPr>
    <w:rPr>
      <w:i/>
      <w:iCs/>
    </w:rPr>
  </w:style>
  <w:style w:type="paragraph" w:styleId="Ttulo21" w:customStyle="1">
    <w:name w:val="Título2"/>
    <w:basedOn w:val="Ttulo11"/>
    <w:qFormat/>
    <w:pPr>
      <w:jc w:val="center"/>
    </w:pPr>
    <w:rPr>
      <w:b/>
      <w:bCs/>
      <w:sz w:val="36"/>
      <w:szCs w:val="36"/>
    </w:rPr>
  </w:style>
  <w:style w:type="paragraph" w:styleId="Corpodetexto22" w:customStyle="1">
    <w:name w:val="Corpo de texto 22"/>
    <w:basedOn w:val="Normal"/>
    <w:qFormat/>
    <w:pPr>
      <w:suppressAutoHyphens w:val="false"/>
      <w:spacing w:lineRule="auto" w:line="480" w:before="0" w:after="120"/>
    </w:pPr>
    <w:rPr>
      <w:color w:val="000000"/>
    </w:rPr>
  </w:style>
  <w:style w:type="paragraph" w:styleId="Corpodetexto39" w:customStyle="1">
    <w:name w:val="Corpo de texto 39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>
      <w:suppressAutoHyphens w:val="false"/>
      <w:spacing w:lineRule="auto" w:line="480" w:before="0" w:after="120"/>
    </w:pPr>
    <w:rPr>
      <w:color w:val="000000"/>
    </w:rPr>
  </w:style>
  <w:style w:type="paragraph" w:styleId="Paragraphscx168548192" w:customStyle="1">
    <w:name w:val="paragraph scx168548192"/>
    <w:basedOn w:val="Normal"/>
    <w:qFormat/>
    <w:pPr>
      <w:spacing w:before="280" w:after="280"/>
    </w:pPr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;Gentium Basic"/>
      <w:color w:val="00000A"/>
      <w:kern w:val="2"/>
      <w:sz w:val="24"/>
      <w:szCs w:val="24"/>
      <w:lang w:val="pt-BR" w:eastAsia="zh-CN" w:bidi="hi-IN"/>
    </w:rPr>
  </w:style>
  <w:style w:type="paragraph" w:styleId="Notaderodap">
    <w:name w:val="Footnote Text"/>
    <w:basedOn w:val="Normal"/>
    <w:link w:val="TextodenotaderodapChar"/>
    <w:uiPriority w:val="99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pPr>
      <w:widowControl/>
      <w:suppressAutoHyphens w:val="false"/>
      <w:spacing w:before="280" w:after="280"/>
    </w:pPr>
    <w:rPr>
      <w:lang w:eastAsia="pt-BR"/>
    </w:rPr>
  </w:style>
  <w:style w:type="paragraph" w:styleId="ListParagraph">
    <w:name w:val="List Paragraph"/>
    <w:basedOn w:val="Normal"/>
    <w:uiPriority w:val="34"/>
    <w:qFormat/>
    <w:pPr>
      <w:ind w:left="104" w:right="196" w:firstLine="1700"/>
      <w:jc w:val="both"/>
    </w:pPr>
    <w:rPr>
      <w:rFonts w:eastAsia="Times New Roman" w:cs="Times New Roman"/>
      <w:lang w:eastAsia="pt-BR" w:bidi="pt-BR"/>
    </w:rPr>
  </w:style>
  <w:style w:type="paragraph" w:styleId="Corpodotextorecuado">
    <w:name w:val="Body Text Indent"/>
    <w:basedOn w:val="Corpodotexto"/>
    <w:pPr>
      <w:widowControl/>
      <w:spacing w:lineRule="auto" w:line="276" w:before="0" w:after="120"/>
      <w:ind w:left="283" w:hanging="0"/>
    </w:pPr>
    <w:rPr>
      <w:rFonts w:eastAsia="Wingdings" w:cs="Symbol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ps.saude.gov.br/ape/informatizaaps" TargetMode="External"/><Relationship Id="rId3" Type="http://schemas.openxmlformats.org/officeDocument/2006/relationships/hyperlink" Target="http://imagens.seplag.ce.gov.br/PDF/20220317/do20220317p01.pdf" TargetMode="External"/><Relationship Id="rId4" Type="http://schemas.openxmlformats.org/officeDocument/2006/relationships/hyperlink" Target="https://egestorab.saude.gov.br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1826c6-e447-4bf9-bdb5-85201d3b2bf7" xsi:nil="true"/>
    <lcf76f155ced4ddcb4097134ff3c332f xmlns="2ab43680-45a3-4f42-b7ea-41628096005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6B3270C43598489DE42F682EBF567F" ma:contentTypeVersion="16" ma:contentTypeDescription="Crie um novo documento." ma:contentTypeScope="" ma:versionID="86642ef00e39832e157865fe1f95e3a9">
  <xsd:schema xmlns:xsd="http://www.w3.org/2001/XMLSchema" xmlns:xs="http://www.w3.org/2001/XMLSchema" xmlns:p="http://schemas.microsoft.com/office/2006/metadata/properties" xmlns:ns2="2ab43680-45a3-4f42-b7ea-416280960052" xmlns:ns3="0454bb23-75f9-49b4-8f49-28facf1b264c" xmlns:ns4="d71826c6-e447-4bf9-bdb5-85201d3b2bf7" targetNamespace="http://schemas.microsoft.com/office/2006/metadata/properties" ma:root="true" ma:fieldsID="531378b45db6c7dd0b612b26e5f0dacb" ns2:_="" ns3:_="" ns4:_="">
    <xsd:import namespace="2ab43680-45a3-4f42-b7ea-416280960052"/>
    <xsd:import namespace="0454bb23-75f9-49b4-8f49-28facf1b264c"/>
    <xsd:import namespace="d71826c6-e447-4bf9-bdb5-85201d3b2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43680-45a3-4f42-b7ea-416280960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f255419-c566-42b2-8349-0f1d37888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4bb23-75f9-49b4-8f49-28facf1b2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826c6-e447-4bf9-bdb5-85201d3b2b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c362fc7-2a2e-49d5-a1ad-20fea67d84a9}" ma:internalName="TaxCatchAll" ma:showField="CatchAllData" ma:web="d71826c6-e447-4bf9-bdb5-85201d3b2b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9FC3E-065E-4CB8-8B3D-314429E26E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A8CE9D-06D4-4584-A935-92E5B192C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465AE9-510E-493C-B653-63E4C5DD90F4}"/>
</file>

<file path=customXml/itemProps4.xml><?xml version="1.0" encoding="utf-8"?>
<ds:datastoreItem xmlns:ds="http://schemas.openxmlformats.org/officeDocument/2006/customXml" ds:itemID="{18D1FD3E-ABEA-492D-8214-633D9F2579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Application>LibreOffice/7.1.5.2$Windows_X86_64 LibreOffice_project/85f04e9f809797b8199d13c421bd8a2b025d52b5</Application>
  <AppVersion>15.0000</AppVersion>
  <Pages>4</Pages>
  <Words>1150</Words>
  <Characters>6339</Characters>
  <CharactersWithSpaces>7469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PROVIMENTO nº 075/2016</dc:title>
  <dc:subject/>
  <dc:creator>Carlos Alberto Alves da Costa</dc:creator>
  <dc:description/>
  <cp:lastModifiedBy/>
  <cp:revision>8</cp:revision>
  <cp:lastPrinted>2017-04-07T12:40:00Z</cp:lastPrinted>
  <dcterms:created xsi:type="dcterms:W3CDTF">2021-10-11T12:53:00Z</dcterms:created>
  <dcterms:modified xsi:type="dcterms:W3CDTF">2022-08-05T11:32:12Z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0x010100BA6B3270C43598489DE42F682EBF567F</vt:lpwstr>
  </property>
  <property fmtid="{D5CDD505-2E9C-101B-9397-08002B2CF9AE}" pid="3" name="LinksUpToDate">
    <vt:bool>false</vt:bool>
  </property>
  <property fmtid="{D5CDD505-2E9C-101B-9397-08002B2CF9AE}" pid="4" name="Order">
    <vt:lpwstr>1810400.00000000</vt:lpwstr>
  </property>
  <property fmtid="{D5CDD505-2E9C-101B-9397-08002B2CF9AE}" pid="5" name="display_urn:schemas-microsoft-com:office:office#Author">
    <vt:lpwstr>Roberto Bruno Pereira Silva</vt:lpwstr>
  </property>
  <property fmtid="{D5CDD505-2E9C-101B-9397-08002B2CF9AE}" pid="6" name="display_urn:schemas-microsoft-com:office:office#Editor">
    <vt:lpwstr>Roberto Bruno Pereira Silva</vt:lpwstr>
  </property>
</Properties>
</file>