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1130300</wp:posOffset>
                </wp:positionH>
                <wp:positionV relativeFrom="paragraph">
                  <wp:posOffset>-571500</wp:posOffset>
                </wp:positionV>
                <wp:extent cx="3098165" cy="812165"/>
                <wp:effectExtent l="0" t="0" r="0" b="0"/>
                <wp:wrapSquare wrapText="bothSides"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440" cy="81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f" style="position:absolute;margin-left:89pt;margin-top:-45pt;width:243.85pt;height:63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MENSAGEM N. ____/2021</w:t>
        <w:tab/>
        <w:tab/>
        <w:tab/>
        <w:t xml:space="preserve">    Local e Data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Exmo. Sr. Presidente da Câmara Municipal de </w:t>
      </w:r>
      <w:r>
        <w:rPr>
          <w:rFonts w:eastAsia="Times New Roman" w:cs="Times New Roman" w:ascii="Times New Roman" w:hAnsi="Times New Roman"/>
          <w:color w:val="FF0000"/>
        </w:rPr>
        <w:t>XXXX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Exmos. Srs. Vereadores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ab/>
        <w:t xml:space="preserve">Encaminho para apreciação e votação de Vossas Excelências o presente projeto de lei, que define, normatiza e regulamenta o Serviço Família Acolhedora no âmbito do Município de </w:t>
      </w:r>
      <w:r>
        <w:rPr>
          <w:rFonts w:eastAsia="Times New Roman" w:cs="Times New Roman" w:ascii="Times New Roman" w:hAnsi="Times New Roman"/>
          <w:color w:val="FF0000"/>
        </w:rPr>
        <w:t>XXXX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ab/>
        <w:tab/>
        <w:t>O acolhimento familiar constitui m</w:t>
      </w:r>
      <w:r>
        <w:rPr>
          <w:rFonts w:eastAsia="Times New Roman" w:cs="Times New Roman" w:ascii="Times New Roman" w:hAnsi="Times New Roman"/>
        </w:rPr>
        <w:t>edida</w:t>
      </w:r>
      <w:r>
        <w:rPr>
          <w:rFonts w:eastAsia="Times New Roman" w:cs="Times New Roman" w:ascii="Times New Roman" w:hAnsi="Times New Roman"/>
        </w:rPr>
        <w:t xml:space="preserve"> de proteção à criança e ao adolescente, com fundamentação nas garantias de convivência familiar e comunitária nos direitos sociais e humanos.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ab/>
        <w:tab/>
        <w:t xml:space="preserve">A família acolhedora atenderá crianças e adolescentes </w:t>
      </w:r>
      <w:r>
        <w:rPr>
          <w:rFonts w:eastAsia="Times New Roman" w:cs="Times New Roman" w:ascii="Times New Roman" w:hAnsi="Times New Roman"/>
        </w:rPr>
        <w:t>que forem encontrados</w:t>
      </w:r>
      <w:r>
        <w:rPr>
          <w:rFonts w:eastAsia="Times New Roman" w:cs="Times New Roman" w:ascii="Times New Roman" w:hAnsi="Times New Roman"/>
        </w:rPr>
        <w:t xml:space="preserve"> em </w:t>
      </w:r>
      <w:r>
        <w:rPr>
          <w:rFonts w:eastAsia="Times New Roman" w:cs="Times New Roman" w:ascii="Times New Roman" w:hAnsi="Times New Roman"/>
        </w:rPr>
        <w:t xml:space="preserve">situação </w:t>
      </w:r>
      <w:r>
        <w:rPr>
          <w:rFonts w:eastAsia="Times New Roman" w:cs="Times New Roman" w:ascii="Times New Roman" w:hAnsi="Times New Roman"/>
        </w:rPr>
        <w:t xml:space="preserve">de abandono, </w:t>
      </w:r>
      <w:r>
        <w:rPr>
          <w:rFonts w:eastAsia="Times New Roman" w:cs="Times New Roman" w:ascii="Times New Roman" w:hAnsi="Times New Roman"/>
        </w:rPr>
        <w:t xml:space="preserve">grave </w:t>
      </w:r>
      <w:r>
        <w:rPr>
          <w:rFonts w:eastAsia="Times New Roman" w:cs="Times New Roman" w:ascii="Times New Roman" w:hAnsi="Times New Roman"/>
        </w:rPr>
        <w:t xml:space="preserve">negligência, ameaça </w:t>
      </w:r>
      <w:r>
        <w:rPr>
          <w:rFonts w:eastAsia="Times New Roman" w:cs="Times New Roman" w:ascii="Times New Roman" w:hAnsi="Times New Roman"/>
        </w:rPr>
        <w:t>ou</w:t>
      </w:r>
      <w:r>
        <w:rPr>
          <w:rFonts w:eastAsia="Times New Roman" w:cs="Times New Roman" w:ascii="Times New Roman" w:hAnsi="Times New Roman"/>
        </w:rPr>
        <w:t xml:space="preserve"> violação d</w:t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</w:rPr>
        <w:t xml:space="preserve"> seus direitos fundamentais por parte de seus pais ou responsáve</w:t>
      </w:r>
      <w:r>
        <w:rPr>
          <w:rFonts w:eastAsia="Times New Roman" w:cs="Times New Roman" w:ascii="Times New Roman" w:hAnsi="Times New Roman"/>
        </w:rPr>
        <w:t>is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</w:rPr>
        <w:t xml:space="preserve">mais precisamente nos casos de </w:t>
      </w:r>
      <w:r>
        <w:rPr>
          <w:rFonts w:eastAsia="Times New Roman" w:cs="Times New Roman" w:ascii="Times New Roman" w:hAnsi="Times New Roman"/>
        </w:rPr>
        <w:t xml:space="preserve">destituição de guarda ou tutela, suspensão ou destituição de poder familiar, ou ainda afastamento cautelar de sua família de origem, visando oferecer-lhes proteção integral até que seja possível a reintegração familiar, na família de origem ou </w:t>
      </w:r>
      <w:r>
        <w:rPr>
          <w:rFonts w:eastAsia="Times New Roman" w:cs="Times New Roman" w:ascii="Times New Roman" w:hAnsi="Times New Roman"/>
        </w:rPr>
        <w:t xml:space="preserve">em família </w:t>
      </w:r>
      <w:r>
        <w:rPr>
          <w:rFonts w:eastAsia="Times New Roman" w:cs="Times New Roman" w:ascii="Times New Roman" w:hAnsi="Times New Roman"/>
        </w:rPr>
        <w:t>substituta.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ab/>
        <w:tab/>
        <w:t xml:space="preserve">As crianças e adolescentes serão inseridas em famílias </w:t>
      </w:r>
      <w:r>
        <w:rPr>
          <w:rFonts w:eastAsia="Times New Roman" w:cs="Times New Roman" w:ascii="Times New Roman" w:hAnsi="Times New Roman"/>
        </w:rPr>
        <w:t xml:space="preserve">acolhedoras, </w:t>
      </w:r>
      <w:r>
        <w:rPr>
          <w:rFonts w:eastAsia="Times New Roman" w:cs="Times New Roman" w:ascii="Times New Roman" w:hAnsi="Times New Roman"/>
        </w:rPr>
        <w:t>serviço de acolhimento preferencial ao acolhimento institucional, famílias estas</w:t>
      </w:r>
      <w:r>
        <w:rPr>
          <w:rFonts w:eastAsia="Times New Roman" w:cs="Times New Roman" w:ascii="Times New Roman" w:hAnsi="Times New Roman"/>
        </w:rPr>
        <w:t xml:space="preserve"> que tenham sido devidamente habilitadas a prestar o serviço, após </w:t>
      </w:r>
      <w:r>
        <w:rPr>
          <w:rFonts w:eastAsia="Times New Roman" w:cs="Times New Roman" w:ascii="Times New Roman" w:hAnsi="Times New Roman"/>
        </w:rPr>
        <w:t xml:space="preserve">cadastradas e selecionadas pela Secretaria de Serviço Social deste Município, </w:t>
      </w:r>
      <w:r>
        <w:rPr>
          <w:rFonts w:eastAsia="Times New Roman" w:cs="Times New Roman" w:ascii="Times New Roman" w:hAnsi="Times New Roman"/>
        </w:rPr>
        <w:t>nos termos do Estatuto da Criança e do Adolescente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ab/>
        <w:t>Por esta simples razão, torna-se imprescindível a consolidação dessas normas municipais.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ab/>
        <w:t>Diante do exposto espero contar com o apoio desta Casa de Leis para que a presente matéria seja analisada e aprovada.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ab/>
        <w:t>GABINETE DO PREFEITO MUNICIPAL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Prefeito Municipal de </w:t>
      </w:r>
      <w:r>
        <w:rPr>
          <w:rFonts w:eastAsia="Times New Roman" w:cs="Times New Roman" w:ascii="Times New Roman" w:hAnsi="Times New Roman"/>
          <w:color w:val="FF0000"/>
        </w:rPr>
        <w:t>XXXX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>PROJETO DE LEI _____/202x.</w:t>
        <w:tab/>
        <w:tab/>
        <w:tab/>
        <w:t>Local e Data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3261" w:hanging="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DISPÕE SOBRE IMPLANTAÇÃO DO SERVIÇO DE ACOLHIMENTO FAMILIAR DE CRIANÇAS E ADOLESCENTES EM SITUAÇÃO DE RISCO SOCIAL </w:t>
      </w:r>
      <w:r>
        <w:rPr>
          <w:rFonts w:eastAsia="Times New Roman" w:cs="Times New Roman" w:ascii="Times New Roman" w:hAnsi="Times New Roman"/>
          <w:b/>
        </w:rPr>
        <w:t xml:space="preserve">QUE IMPORTE EM </w:t>
      </w:r>
      <w:r>
        <w:rPr>
          <w:rFonts w:eastAsia="Times New Roman" w:cs="Times New Roman" w:ascii="Times New Roman" w:hAnsi="Times New Roman"/>
          <w:b/>
        </w:rPr>
        <w:t>PRIVAÇÃO DO CONVÍVIO COM A FAMÍLIA DE ORIGEM, DENOMINADO SERVIÇO FAMÍLIA ACOLHEDORA.</w:t>
      </w:r>
    </w:p>
    <w:p>
      <w:pPr>
        <w:pStyle w:val="Normal"/>
        <w:jc w:val="both"/>
        <w:rPr>
          <w:rFonts w:ascii="Times New Roman" w:hAnsi="Times New Roman" w:eastAsia="Times New Roman" w:cs="Times New Roman"/>
          <w:smallCaps/>
        </w:rPr>
      </w:pPr>
      <w:r>
        <w:rPr>
          <w:rFonts w:eastAsia="Times New Roman" w:cs="Times New Roman" w:ascii="Times New Roman" w:hAnsi="Times New Roman"/>
          <w:smallCaps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ab/>
        <w:t xml:space="preserve">O PREFEITO MUNICIPAL DE </w:t>
      </w:r>
      <w:r>
        <w:rPr>
          <w:rFonts w:eastAsia="Times New Roman" w:cs="Times New Roman" w:ascii="Times New Roman" w:hAnsi="Times New Roman"/>
          <w:color w:val="FF0000"/>
        </w:rPr>
        <w:t>XXXX</w:t>
      </w:r>
      <w:r>
        <w:rPr>
          <w:rFonts w:eastAsia="Times New Roman" w:cs="Times New Roman" w:ascii="Times New Roman" w:hAnsi="Times New Roman"/>
        </w:rPr>
        <w:t xml:space="preserve">, ESTADO DO CEARÁ, no uso de suas atribuições legais, conferidas pela Lei Orgânica do Município, faço saber que a CÂMARA MUNICIPAL DE </w:t>
      </w:r>
      <w:r>
        <w:rPr>
          <w:rFonts w:eastAsia="Times New Roman" w:cs="Times New Roman" w:ascii="Times New Roman" w:hAnsi="Times New Roman"/>
          <w:color w:val="FF0000"/>
        </w:rPr>
        <w:t>XXXX</w:t>
      </w:r>
      <w:r>
        <w:rPr>
          <w:rFonts w:eastAsia="Times New Roman" w:cs="Times New Roman" w:ascii="Times New Roman" w:hAnsi="Times New Roman"/>
        </w:rPr>
        <w:t>, ESTADO DO CEARÁ, APROVA, e eu SANCIONO a seguinte Lei: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ab/>
        <w:t xml:space="preserve">Art. 1º.  Fica instituído o Serviço de Acolhimento Familiar de Crianças e Adolescentes em situação de risco social e de privação temporária do convívio com a família de origem, denominado Serviço Família Acolhedora, como parte inerente da política de atendimento de assistência social à criança e ao adolescente do Município de </w:t>
      </w:r>
      <w:r>
        <w:rPr>
          <w:rFonts w:eastAsia="Times New Roman" w:cs="Times New Roman" w:ascii="Times New Roman" w:hAnsi="Times New Roman"/>
          <w:color w:val="CE181E"/>
        </w:rPr>
        <w:t>XXX</w:t>
      </w:r>
      <w:r>
        <w:rPr>
          <w:rFonts w:eastAsia="Times New Roman" w:cs="Times New Roman" w:ascii="Times New Roman" w:hAnsi="Times New Roman"/>
        </w:rPr>
        <w:t>, atendendo ao que dispõe a Política Nacional de Assistência Social, no âmbito do Sistema Único de Assistência Social (SUAS), à garantia dos direitos da criança e do adolescente previstos na Lei nº 8.069/90, Lei nº 13.257/16, e ao Plano Nacional, Estadual e Municipal de Promoção, Proteção e Defesa do Direito da Criança e do Adolescente à convivência familiar e comunitária.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1701" w:right="0"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Parágrafo Único: Serviço Família Acolhedora constitui-se na guarda de crianças ou adolescentes por famílias previamente cadastradas no Serviço Família Acolhedora e habilitadas, residentes no Município de </w:t>
      </w:r>
      <w:r>
        <w:rPr>
          <w:rFonts w:eastAsia="Times New Roman" w:cs="Times New Roman" w:ascii="Times New Roman" w:hAnsi="Times New Roman"/>
          <w:color w:val="CE181E"/>
        </w:rPr>
        <w:t>xxx</w:t>
      </w:r>
      <w:r>
        <w:rPr>
          <w:rFonts w:eastAsia="Times New Roman" w:cs="Times New Roman" w:ascii="Times New Roman" w:hAnsi="Times New Roman"/>
        </w:rPr>
        <w:t xml:space="preserve">, que tenham condições de recebê-las e mantê-las condignamente, garantindo a manutenção dos direitos básicos necessários ao processo de crescimento e desenvolvimento, oferecendo meios necessários à saúde </w:t>
      </w:r>
      <w:r>
        <w:rPr>
          <w:rFonts w:eastAsia="Times New Roman" w:cs="Times New Roman" w:ascii="Times New Roman" w:hAnsi="Times New Roman"/>
        </w:rPr>
        <w:t>física, mental e social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ab/>
        <w:t>Art. 2</w:t>
      </w:r>
      <w:r>
        <w:rPr>
          <w:rFonts w:eastAsia="Times New Roman" w:cs="Times New Roman" w:ascii="Times New Roman" w:hAnsi="Times New Roman"/>
          <w:vertAlign w:val="superscript"/>
        </w:rPr>
        <w:t>o</w:t>
      </w:r>
      <w:r>
        <w:rPr>
          <w:rFonts w:eastAsia="Times New Roman" w:cs="Times New Roman" w:ascii="Times New Roman" w:hAnsi="Times New Roman"/>
        </w:rPr>
        <w:t>. Para os efeitos desta lei, considera-se: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firstLine="1700"/>
        <w:jc w:val="both"/>
        <w:rPr/>
      </w:pPr>
      <w:r>
        <w:rPr>
          <w:rFonts w:eastAsia="Times New Roman" w:cs="Times New Roman" w:ascii="Times New Roman" w:hAnsi="Times New Roman"/>
        </w:rPr>
        <w:t>I – acolhimento: medida protetiva prevista no art. 101, incisos VII e VIII, do Estatuto da Criança e do Adolescente, caracterizada pelo excepcional afastamento da criança ou do adolescente da sua família natural ou extensa com vista à sua proteção integral;</w:t>
      </w:r>
    </w:p>
    <w:p>
      <w:pPr>
        <w:pStyle w:val="Normal"/>
        <w:ind w:left="0"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firstLine="1700"/>
        <w:jc w:val="both"/>
        <w:rPr/>
      </w:pPr>
      <w:r>
        <w:rPr>
          <w:rFonts w:eastAsia="Times New Roman" w:cs="Times New Roman" w:ascii="Times New Roman" w:hAnsi="Times New Roman"/>
        </w:rPr>
        <w:t>II – crianças e adolescentes em situação de risco social e de privação do convívio com a família de origem: aqueles que tenham seus direitos ameaçados ou violados, em caso de abandono, negligência, maus-tratos, ameaça e violação dos direitos fundamentais por parte dos pais ou responsáveis, destituição de guarda ou tutela, suspensão, perda do poder familiar, e desde que verificada a impossibilidade de colocação sob guarda ou tutela na família extensa;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ab/>
        <w:t>Art. 3°. A gestão do Serviço de Acolhimento Familiar é de responsabilidade da Secretaria Municipal de Assistência Social, que contará com a articulação e envolvimento dos atores do Sistema de Garantia dos Direitos de Crianças e Adolescentes, notadamente:</w:t>
      </w:r>
    </w:p>
    <w:p>
      <w:pPr>
        <w:pStyle w:val="Normal"/>
        <w:widowControl/>
        <w:ind w:left="1701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</w:rPr>
        <w:t>I – Poder Judiciário do Estado do Ceará;</w:t>
      </w:r>
    </w:p>
    <w:p>
      <w:pPr>
        <w:pStyle w:val="Normal"/>
        <w:widowControl/>
        <w:ind w:left="0" w:right="0"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</w:rPr>
        <w:t>II – Ministério Público do Estado do Ceará;</w:t>
      </w:r>
    </w:p>
    <w:p>
      <w:pPr>
        <w:pStyle w:val="Normal"/>
        <w:widowControl/>
        <w:ind w:left="0" w:right="0"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</w:rPr>
        <w:t>III – Conselho dos Direitos da Criança e do Adolescente;</w:t>
      </w:r>
    </w:p>
    <w:p>
      <w:pPr>
        <w:pStyle w:val="Normal"/>
        <w:widowControl/>
        <w:ind w:left="0" w:right="0"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</w:rPr>
        <w:t>IV – Órgãos municipais gestores das políticas de Assistência Social, Educação, Saúde, Habitação, Esporte, Cultura e Lazer;</w:t>
      </w:r>
    </w:p>
    <w:p>
      <w:pPr>
        <w:pStyle w:val="Normal"/>
        <w:widowControl/>
        <w:ind w:left="1701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1701" w:right="0" w:hanging="0"/>
        <w:jc w:val="both"/>
        <w:rPr/>
      </w:pPr>
      <w:r>
        <w:rPr>
          <w:rFonts w:eastAsia="Times New Roman" w:cs="Times New Roman" w:ascii="Times New Roman" w:hAnsi="Times New Roman"/>
        </w:rPr>
        <w:t>V – Conselho Tutelar.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ab/>
        <w:t>Art. 4</w:t>
      </w:r>
      <w:r>
        <w:rPr>
          <w:rFonts w:eastAsia="Times New Roman" w:cs="Times New Roman" w:ascii="Times New Roman" w:hAnsi="Times New Roman"/>
          <w:vertAlign w:val="superscript"/>
        </w:rPr>
        <w:t>o</w:t>
      </w:r>
      <w:r>
        <w:rPr>
          <w:rFonts w:eastAsia="Times New Roman" w:cs="Times New Roman" w:ascii="Times New Roman" w:hAnsi="Times New Roman"/>
        </w:rPr>
        <w:t>. O Serviço Família Acolhedora, objetiva: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1700" w:right="0" w:hanging="0"/>
        <w:jc w:val="both"/>
        <w:rPr/>
      </w:pPr>
      <w:r>
        <w:rPr>
          <w:rFonts w:eastAsia="Times New Roman" w:cs="Times New Roman" w:ascii="Times New Roman" w:hAnsi="Times New Roman"/>
        </w:rPr>
        <w:t>I – garantir às crianças e aos adolescentes, que necessitem de proteção, o acolhimento por famílias acolhedoras, respeitando o seu direito à convivência familiar e comunitári</w:t>
      </w:r>
      <w:r>
        <w:rPr>
          <w:rFonts w:eastAsia="Times New Roman" w:cs="Times New Roman" w:ascii="Times New Roman" w:hAnsi="Times New Roman"/>
        </w:rPr>
        <w:t>a em ambiente adequado;</w:t>
      </w:r>
    </w:p>
    <w:p>
      <w:pPr>
        <w:pStyle w:val="Normal"/>
        <w:widowControl/>
        <w:ind w:left="170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1700" w:right="0" w:hanging="0"/>
        <w:jc w:val="both"/>
        <w:rPr/>
      </w:pPr>
      <w:r>
        <w:rPr>
          <w:rFonts w:eastAsia="Times New Roman" w:cs="Times New Roman" w:ascii="Times New Roman" w:hAnsi="Times New Roman"/>
        </w:rPr>
        <w:t>II – oportunizar condições de socialização, através da inserção da criança, do adolescente e das famílias em serviços sociopedagógicos, promovendo a aprendizagem de habilidades e de competências educativas específicas correspondentes às demandas individuais deste público;</w:t>
      </w:r>
    </w:p>
    <w:p>
      <w:pPr>
        <w:pStyle w:val="Normal"/>
        <w:widowControl/>
        <w:ind w:left="170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1700" w:right="0" w:hanging="0"/>
        <w:jc w:val="both"/>
        <w:rPr/>
      </w:pPr>
      <w:r>
        <w:rPr>
          <w:rFonts w:eastAsia="Times New Roman" w:cs="Times New Roman" w:ascii="Times New Roman" w:hAnsi="Times New Roman"/>
        </w:rPr>
        <w:t>III – oferecer apoio às famílias de origem, favorecendo a sua reestruturação para o retorno de seus filhos, sempre que possível;</w:t>
      </w:r>
    </w:p>
    <w:p>
      <w:pPr>
        <w:pStyle w:val="Normal"/>
        <w:widowControl/>
        <w:ind w:left="170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1700" w:right="0" w:hanging="0"/>
        <w:jc w:val="both"/>
        <w:rPr/>
      </w:pPr>
      <w:r>
        <w:rPr>
          <w:rFonts w:eastAsia="Times New Roman" w:cs="Times New Roman" w:ascii="Times New Roman" w:hAnsi="Times New Roman"/>
        </w:rPr>
        <w:t>IV – oportunizar às crianças e aos adolescentes acesso aos serviços públicos, na área da educação, saúde, profissionalização e demais serviços necessários, assegurando assim seus direitos constitucionais;</w:t>
      </w:r>
    </w:p>
    <w:p>
      <w:pPr>
        <w:pStyle w:val="Normal"/>
        <w:widowControl/>
        <w:ind w:left="170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1700" w:right="0" w:hanging="0"/>
        <w:jc w:val="both"/>
        <w:rPr/>
      </w:pPr>
      <w:r>
        <w:rPr>
          <w:rFonts w:eastAsia="Times New Roman" w:cs="Times New Roman" w:ascii="Times New Roman" w:hAnsi="Times New Roman"/>
        </w:rPr>
        <w:t>V – contribuir na superação da situação vivida pelas crianças e adolescentes com menor grau de sofrimento e perda, preparando-os para a reintegração familiar ou colocação em família substituta.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ab/>
        <w:t>Art. 5</w:t>
      </w:r>
      <w:r>
        <w:rPr>
          <w:rFonts w:eastAsia="Times New Roman" w:cs="Times New Roman" w:ascii="Times New Roman" w:hAnsi="Times New Roman"/>
          <w:vertAlign w:val="superscript"/>
        </w:rPr>
        <w:t>º</w:t>
      </w:r>
      <w:r>
        <w:rPr>
          <w:rFonts w:eastAsia="Times New Roman" w:cs="Times New Roman" w:ascii="Times New Roman" w:hAnsi="Times New Roman"/>
        </w:rPr>
        <w:t xml:space="preserve">. O Serviço Família Acolhedora atenderá crianças e adolescentes do Município de </w:t>
      </w:r>
      <w:r>
        <w:rPr>
          <w:rFonts w:eastAsia="Times New Roman" w:cs="Times New Roman" w:ascii="Times New Roman" w:hAnsi="Times New Roman"/>
          <w:color w:val="CE181E"/>
        </w:rPr>
        <w:t xml:space="preserve">XXX </w:t>
      </w:r>
      <w:r>
        <w:rPr>
          <w:rFonts w:eastAsia="Times New Roman" w:cs="Times New Roman" w:ascii="Times New Roman" w:hAnsi="Times New Roman"/>
        </w:rPr>
        <w:t>em situação de risco, conforme definido no art. 2º, II desta Lei.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left="1701" w:right="0" w:hanging="0"/>
        <w:jc w:val="both"/>
        <w:rPr/>
      </w:pPr>
      <w:r>
        <w:rPr>
          <w:rFonts w:eastAsia="Times New Roman" w:cs="Times New Roman" w:ascii="Times New Roman" w:hAnsi="Times New Roman"/>
        </w:rPr>
        <w:t>Parágrafo único: excepcionalmente, poderão ser inseridos nesse serviço jovens entre 18 (dezoito) e 21 (vinte e um) anos de idade, dependendo, nestes casos, de parecer técnico em que deverá constar o grau de autonomia alcançado pelo acolhido, a fim de se definir a necessidade de manutenção até os 21 (vinte e um) anos de idade, conforme disposto no art. 2º da Lei nº 8069/1990 – Estatuto da Criança e do Adolescente.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ab/>
        <w:t xml:space="preserve">Art. 6°. A inclusão da criança ou do adolescente no Serviço de Acolhimento Familiar será realizada mediante determinação da autoridade judiciária competente </w:t>
      </w:r>
      <w:r>
        <w:rPr>
          <w:rFonts w:eastAsia="Times New Roman" w:cs="Times New Roman" w:ascii="Times New Roman" w:hAnsi="Times New Roman"/>
        </w:rPr>
        <w:t>ou, excepcionalmente em caso de urgência, por encaminhamento da Equipe Interdisciplinar que coordenar o serviço.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ab/>
        <w:t>Art. 7º. As crianças ou adolescentes cadastrados no Serviço Família Acolhedora receberão: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 – com absoluta prioridade, atendimento nas áreas de saúde, educação e assistência social, através das políticas públicas existentes;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 – acompanhamento psicossocial e pedagógico pelo Serviço Família Acolhedora;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III – estímulo à manutenção e/ou reformulação de vínculos afetivos com sua família de origem, nos casos em que houver possibilidade;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IV – permanência com seus irmãos na mesma família acolhedora, sempre que possível;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V – direito de preferência em matrículas e transferência de matrículas nos centros de educação infantil e nas escolas municipais de </w:t>
      </w:r>
      <w:r>
        <w:rPr>
          <w:rFonts w:eastAsia="Times New Roman" w:cs="Times New Roman" w:ascii="Times New Roman" w:hAnsi="Times New Roman"/>
          <w:color w:val="CE181E"/>
        </w:rPr>
        <w:t>XXX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/>
      </w:pPr>
      <w:r>
        <w:rPr>
          <w:rFonts w:eastAsia="Times New Roman" w:cs="Times New Roman" w:ascii="Times New Roman" w:hAnsi="Times New Roman"/>
        </w:rPr>
        <w:t>Art. 8º. A inscrição das famílias interessadas em participar do Serviço Família Acolhedora será gratuita e realizada por meio do preenchimento de Ficha de Cadastro do Serviço, apresentando os documentos abaixo indicados: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 –  carteira de Identidade;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 –  certidão de nascimento ou casamento;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III –  comprovante de residência;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IV –  Certidão Negativa de Antecedentes Criminais emitida pelo Tribunal de Justiça do Ceará e da Polícia Civil;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 –  comprovante de vínculo trabalhista com apresentação de carteira de trabalho ou contrato trabalhista de, pelo menos, 1 (um) dos membros da família;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VI –  se aposentado ou pensionista, apresentar cartão do INSS.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Parágrafo único   Não se incluirá no serviço pessoa com vínculo de parentesco com criança ou adolescente em processo de acolhimento.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9º.  As pessoas interessadas em participar do Serviço Família Acolhedora deverão atender aos seguintes requisitos: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 –  não estar respondendo a processo judicial nem apresentar potencialidade lesiva para figurar no cadastro;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II –  ter moradia fixa no Município de </w:t>
      </w:r>
      <w:r>
        <w:rPr>
          <w:rFonts w:eastAsia="Times New Roman" w:cs="Times New Roman" w:ascii="Times New Roman" w:hAnsi="Times New Roman"/>
          <w:color w:val="CE181E"/>
        </w:rPr>
        <w:t xml:space="preserve">XXX </w:t>
      </w:r>
      <w:r>
        <w:rPr>
          <w:rFonts w:eastAsia="Times New Roman" w:cs="Times New Roman" w:ascii="Times New Roman" w:hAnsi="Times New Roman"/>
        </w:rPr>
        <w:t>há mais de 1 (um) ano com espaço físico adequado na residência para acolher criança ou adolescente;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III –  ter disponibilidade de tempo para oferecer proteção e apoio às crianças e aos adolescentes;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/>
      </w:pPr>
      <w:r>
        <w:rPr>
          <w:rFonts w:eastAsia="Times New Roman" w:cs="Times New Roman" w:ascii="Times New Roman" w:hAnsi="Times New Roman"/>
        </w:rPr>
        <w:t xml:space="preserve">IV –  </w:t>
      </w:r>
      <w:r>
        <w:rPr>
          <w:rFonts w:eastAsia="Times New Roman" w:cs="Times New Roman" w:ascii="Times New Roman" w:hAnsi="Times New Roman"/>
        </w:rPr>
        <w:t>s</w:t>
      </w:r>
      <w:r>
        <w:rPr>
          <w:rFonts w:eastAsia="Times New Roman" w:cs="Times New Roman" w:ascii="Times New Roman" w:hAnsi="Times New Roman"/>
        </w:rPr>
        <w:t xml:space="preserve">er </w:t>
      </w:r>
      <w:r>
        <w:rPr>
          <w:rFonts w:eastAsia="Times New Roman" w:cs="Times New Roman" w:ascii="Times New Roman" w:hAnsi="Times New Roman"/>
        </w:rPr>
        <w:t xml:space="preserve">maior de </w:t>
      </w:r>
      <w:r>
        <w:rPr>
          <w:rFonts w:eastAsia="Times New Roman" w:cs="Times New Roman" w:ascii="Times New Roman" w:hAnsi="Times New Roman"/>
        </w:rPr>
        <w:t>21 (vinte e um);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 –  gozar de boa saúde física e mental;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VI - não ter nenhum membro da família que resida no domicílio envolvido com o uso abusivo de álcool, drogas ou substâncias ilícitas;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VII – não estar habilitado, nem em processo de habilitação, para adoção de criança ou adolescente;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VIII –  apresentar concordância de todos os membros da família maiores de 18 (dezoito) anos que vivem no lar;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IX – apresentar parecer psicossocial favorável, expedido pela Equipe Interdisciplinar do Serviço de Acolhimento Familiar.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1º  O pedido de inscrição poderá ser feito à Secretaria Municipal de Assistência Social ou por meio do CRAS, que deverá repassar a solicitação para a Equipe Técnica do Serviço.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2º  A seleção entre as famílias inscritas será feita através de estudo psicossocial, de responsabilidade da Equipe Técnica do Serviço Família Acolhedora.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3º  O estudo psicossocial envolverá todos os membros da família e será realizado através de visitas domiciliares, entrevistas, contatos colaterais e observação das relações familiares e comunitárias.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4º  Após a emissão de parecer psicossocial favorável à inclusão no serviço, as famílias assinarão um Termo de Adesão ao Serviço Família Acolhedora.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5º  Em caso de desligamento do serviço, as famílias acolhedoras deverão fazer solicitação por escrito.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/>
      </w:pPr>
      <w:r>
        <w:rPr>
          <w:rFonts w:eastAsia="Times New Roman" w:cs="Times New Roman" w:ascii="Times New Roman" w:hAnsi="Times New Roman"/>
        </w:rPr>
        <w:t>Art. 10. As famílias cadastradas receberão acompanhamento e preparação contínua, sendo orientadas sobre os objetivos do Serviço Família Acolhedora, sobre a diferenciação com a medida de adoção, sobre a recepção, manutenção e o desligamento das crianças e dos adolescentes.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/>
      </w:pPr>
      <w:r>
        <w:rPr>
          <w:rFonts w:eastAsia="Times New Roman" w:cs="Times New Roman" w:ascii="Times New Roman" w:hAnsi="Times New Roman"/>
        </w:rPr>
        <w:t>Parágrafo único: A preparação das famílias cadastradas será feita através de: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 –  orientação direta às famílias nas visitas domiciliares e entrevistas;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 –  participação nos encontros de estudo e troca de experiência com todas as famílias, com abordagem do Estatuto da Criança e do Adolescente, questões sociais relativas à família de origem, relações intrafamiliares, guarda como medida de colocação em família substituta, papel da família acolhedora e outras questões pertinentes;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III –  participação em cursos e eventos de formação.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11.  O período em que a criança ou adolescente permanecerá na família acolhedora será o mínimo necessário para o seu retorno à família de origem ou encaminhamento à família substituta.</w:t>
      </w:r>
    </w:p>
    <w:p>
      <w:pPr>
        <w:pStyle w:val="Normal"/>
        <w:ind w:left="0"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Parágrafo único   Não havendo risco à criança ou ao adolescente, a residência acolhedora será preferencialmente no bairro em que a criança já reside.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12.  Os profissionais do Serviço Família Acolhedora efetuarão o contato com as famílias acolhedoras, observadas as características e necessidades da criança e as preferências expressas pela família acolhedora no processo de inscrição.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13.  Cada família acolhedora deverá receber somente 1 (uma) criança ou adolescente de cada vez, salvo se grupo de irmãos.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/>
      </w:pPr>
      <w:r>
        <w:rPr>
          <w:rFonts w:eastAsia="Times New Roman" w:cs="Times New Roman" w:ascii="Times New Roman" w:hAnsi="Times New Roman"/>
        </w:rPr>
        <w:t xml:space="preserve">Art. 14. O encaminhamento da criança ou adolescente ocorrerá mediante “Termo de Guarda Concedido à Família Acolhedora”, determinado judicialmente </w:t>
      </w:r>
      <w:r>
        <w:rPr>
          <w:rFonts w:eastAsia="Times New Roman" w:cs="Times New Roman" w:ascii="Times New Roman" w:hAnsi="Times New Roman"/>
        </w:rPr>
        <w:t>e nos casos excepcionais em que for o encaminhamento se fizer por acolhimento de urgência, mediante Termo de Responsabilidade, expedido pela Autoridade Tutelar, que deverá informar do acolhimento a autoridade judiciária e o Ministério Pùblico para homologação da medida com subsequente expedição de Termo de Guarda Judicial ou revogação da medida.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15. Os técnicos do Serviço Família Acolhedora acompanharão todo o processo de acolhimento através de visitas domiciliares e encontros individuais ou em grupos, com o objetivo de facilitar e contribuir com o processo de adaptação da criança ou adolescente e da família acolhedora.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Parágrafo único   Na impossibilidade de reinserção da criança ou adolescente acolhido junto à família de origem ou família extensa, quando esgotados os recursos disponíveis, a Equipe Técnica deverá encaminhar relatório circunstanciado à Vara da Infância e Juventude para verificação da inclusão no cadastro nacional de adoção.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16.  A família acolhedora será previamente informada quanto à previsão do tempo do acolhimento da criança ou adolescente para o qual foi chamada a acolher.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17.  O término do acolhimento familiar da criança ou do adolescente se dará por determinação judicial, atendendo aos encaminhamentos pertinentes ao retorno à família de origem ou colocação em família substituta, através das seguintes medidas: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 –  acompanhamento, após a reintegração familiar, visando à não reincidência do fato que provocou o afastamento da criança;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 –  acompanhamento psicossocial à família acolhedora, após o desligamento da criança, atendendo às suas necessidades;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III –  orientação e supervisão do processo de visitas entre a família acolhedora e a família que recebeu a criança;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/>
      </w:pPr>
      <w:r>
        <w:rPr>
          <w:rFonts w:eastAsia="Times New Roman" w:cs="Times New Roman" w:ascii="Times New Roman" w:hAnsi="Times New Roman"/>
        </w:rPr>
        <w:t xml:space="preserve">IV –  envio de oficio ao Juizado da Infância e Juventude de Fortaleza, comunicando quando do desligamento da família </w:t>
      </w:r>
      <w:r>
        <w:rPr>
          <w:rFonts w:eastAsia="Times New Roman" w:cs="Times New Roman" w:ascii="Times New Roman" w:hAnsi="Times New Roman"/>
        </w:rPr>
        <w:t>d</w:t>
      </w:r>
      <w:r>
        <w:rPr>
          <w:rFonts w:eastAsia="Times New Roman" w:cs="Times New Roman" w:ascii="Times New Roman" w:hAnsi="Times New Roman"/>
        </w:rPr>
        <w:t>o Serviço Família Acolhedora.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/>
      </w:pPr>
      <w:r>
        <w:rPr>
          <w:rFonts w:eastAsia="Times New Roman" w:cs="Times New Roman" w:ascii="Times New Roman" w:hAnsi="Times New Roman"/>
        </w:rPr>
        <w:t xml:space="preserve">Art. 18.  A escolha da família acolhedora caberá à Equipe Técnica, após determinação judicial </w:t>
      </w:r>
      <w:r>
        <w:rPr>
          <w:rFonts w:eastAsia="Times New Roman" w:cs="Times New Roman" w:ascii="Times New Roman" w:hAnsi="Times New Roman"/>
        </w:rPr>
        <w:t>de encaminhamento da criança ou adolescente para o Serviço.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19.  A família acolhedora tem a responsabilidade familiar pelas crianças e adolescentes acolhidos, enquanto estiverem sob sua proteção, responsabilizando-se pelo que se segue: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 –  todos os direitos e responsabilidades legais reservados ao guardião, obrigando-se à prestação de assistência material, moral e educacional à criança e ao adolescente, conferindo ao seu detentor o direito de opor-se a terceiros, inclusive aos pais, nos termos do art. 33 do Estatuto da Criança e do Adolescente;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 –  participar do processo de preparação, formação e acompanhamento;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III –  prestar informações, sobre a situação da criança ou adolescente acolhido, aos profissionais que estão acompanhando a situação;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/>
      </w:pPr>
      <w:r>
        <w:rPr>
          <w:rFonts w:eastAsia="Times New Roman" w:cs="Times New Roman" w:ascii="Times New Roman" w:hAnsi="Times New Roman"/>
        </w:rPr>
        <w:t>IV –  manter todas as crianças e/ou adolescentes regularmente matriculados e frequentando assiduamente as unidades educacionais, desde a pré-escola até concluírem o ensino médio;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 –  contribuir na preparação da criança ou adolescente para o retorno à família de origem, sempre sob orientação técnica dos profissionais do Serviço Família Acolhedora;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VI –  nos casos de não adaptação, a família procederá à desistência formal da guarda, responsabilizando-se pelos cuidados da criança acolhida até novo encaminhamento, que será determinado pela autoridade judiciária;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VII –  a transferência para outra família </w:t>
      </w:r>
      <w:r>
        <w:rPr>
          <w:rFonts w:eastAsia="Times New Roman" w:cs="Times New Roman" w:ascii="Times New Roman" w:hAnsi="Times New Roman"/>
        </w:rPr>
        <w:t xml:space="preserve">ou para o acolhimento institucional </w:t>
      </w:r>
      <w:r>
        <w:rPr>
          <w:rFonts w:eastAsia="Times New Roman" w:cs="Times New Roman" w:ascii="Times New Roman" w:hAnsi="Times New Roman"/>
        </w:rPr>
        <w:t>deverá ser feita de maneira gradativa e com o devido acompanhamento.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20.  Deverá ser criada uma equipe para o acompanhamento da família acolhedora e da criança e adolescente, que será composta no mínimo por: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 –  um coordenador, conforme tipificação da Resolução nº 01/2009 do CONANDA;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 –  um assistente social;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III –  um psicólogo;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1º  A cada 15 (quinze) famílias de origem e 15 (quinze) famílias acolhedoras deverá ser acrescido 1 (um) profissional da assistência social e 1 (um) psicólogo.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2º  A contratação e a capacitação da equipe técnica são de responsabilidade da Secretaria Municipal de Assistência Social.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21.  A Equipe Técnica prestará acompanhamento sistemático à Família Acolhedora, à criança e ao adolescente acolhidos e à família de origem, com o apoio da Secretaria Municipal de Assistência Social.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Parágrafo único   Todo o processo de acolhimento e reintegração familiar será acompanhado pela Equipe Técnica, que será responsável por cadastrar, selecionar, capacitar, assistir e acompanhar as famílias acolhedoras, antes, durante e após o acolhimento.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22.  O acompanhamento à família acolhedora acontecerá na forma que segue: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 –  visitas domiciliares, nas quais os profissionais e família conversam informalmente sobre a situação da criança, sua evolução e o cotidiano na família, dificuldades no processo e outras questões pertinentes;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 –  atendimento psicológico;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/>
      </w:pPr>
      <w:r>
        <w:rPr>
          <w:rFonts w:eastAsia="Times New Roman" w:cs="Times New Roman" w:ascii="Times New Roman" w:hAnsi="Times New Roman"/>
        </w:rPr>
        <w:t>III – presença das famílias nos encontros de preparação e acompanhamento.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23.  O acompanhamento à família de origem, à família acolhedora, à criança ou ao adolescente em acolhimento, e o processo de reintegração familiar da criança, será realizado pelos profissionais do Serviço Família Acolhedora.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1º  Os profissionais acompanharão as visitas entre criança/família de origem/família acolhedora, a serem realizados em espaço físico neutro.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2º  A participação da família acolhedora nas visitas será decidida em conjunto com a família.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3º  A Equipe Técnica fornecerá ao Juízo da Infância e Juventude relatório mensal sobre a situação da criança ou adolescente acolhido.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4º  Sempre que solicitado pela autoridade judiciária, a Equipe Técnica prestará informações sobre a situação da criança acolhida e informará quanto à possibilidade ou não de reintegração familiar, bem como poderá ser solicitada a realização de laudo psicossocial com apontamento das vantagens e desvantagens da medida, com vistas a subsidiar as decisões judiciais.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§ 5º  Todo processo de acolhimento e reintegração familiar se dará </w:t>
      </w:r>
      <w:r>
        <w:rPr>
          <w:rFonts w:eastAsia="Times New Roman" w:cs="Times New Roman" w:ascii="Times New Roman" w:hAnsi="Times New Roman"/>
        </w:rPr>
        <w:t>sob controle j</w:t>
      </w:r>
      <w:r>
        <w:rPr>
          <w:rFonts w:eastAsia="Times New Roman" w:cs="Times New Roman" w:ascii="Times New Roman" w:hAnsi="Times New Roman"/>
        </w:rPr>
        <w:t>udicial, nos termos da Lei 8.069/1990.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24.  As famílias cadastradas no Serviço Família Acolhedora, independentemente de sua condição econômica, têm a garantia do recebimento de subsídio financeiro, por criança ou adolescente em acolhimento, nos seguintes termos: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 –  nos casos em que o acolhimento familiar for inferior a 1 (um) mês, a família acolhedora receberá proporcionalmente a bolsa-auxílio ao tempo de acolhida;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 –  nos acolhimentos superiores a 1 (um) mês, a família acolhedora receberá bolsa-auxílio integral a cada 30 (trinta) dias de acolhimento, conforme estabelecido em Decreto pelo Poder Público com recursos em dotação orçamentária específica;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III –  na hipótese de a família acolher grupo de irmãos, o valor da bolsa-auxílio para cada criança ou adolescente não poderá ser reduzido, sendo limitado até o máximo de 3 (três) vezes o valor mensal, ainda que o número de crianças ou adolescentes acolhidos exceda de 3 (três).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25.  A bolsa-auxílio será repassada através de transferência bancária em favor do membro responsável da família acolhedora.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1º  O valor da bolsa-auxílio não será inferior a meio salário mínimo per capita.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2º  Quando a criança ou adolescente for portadora de deficiência física o valor será acrescido em 50%.</w:t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Art. 26.  A bolsa-auxílio será repassada por criança ou adolescente às famílias acolhedoras, durante o período de acolhimento, e será subsidiada pelo Município de </w:t>
      </w:r>
      <w:r>
        <w:rPr>
          <w:rFonts w:eastAsia="Times New Roman" w:cs="Times New Roman" w:ascii="Times New Roman" w:hAnsi="Times New Roman"/>
          <w:color w:val="CE181E"/>
        </w:rPr>
        <w:t>XXX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Parágrafo único   A bolsa-auxílio também poderá ser custeada mediante cofinanciamento da União, do Estado e do Município.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27.  O imóvel utilizado pela família acolhedora ficará isento de pagamento do IPTU.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28.  A família acolhedora, que tenha recebido a bolsa-auxílio e não tenha cumprido as prerrogativas desta Lei, fica obrigada ao ressarcimento da importância recebida durante o período da irregularidade.</w:t>
      </w:r>
    </w:p>
    <w:p>
      <w:pPr>
        <w:pStyle w:val="Normal"/>
        <w:ind w:firstLine="141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7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Parágrafo único   Compete à Secretaria Municipal de Assistência Social processar e julgar casos de descumprimento da presente Lei pelas famílias acolhedoras, bem como desatendimento aos direitos da criança e adolescente.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29.  A família acolhedora terá atendimento prioritário no Sistema Municipal de Saúde e Educação, através do Cartão Família Acolhedora.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30.  O descumprimento de qualquer das obrigações contidas no art. 33 do Estatuto da Criança e do Adolescente, bem como de outras estabelecidas por ocasião da regulamentação da presente Lei, implicará o desligamento da família do Serviço, além da aplicação das demais sanções cabíveis.</w:t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1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Art. 31. Esta Lei entra em vigor na data de sua publicação.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GABINETE DO PREFEITO MUNICIPAL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XXXXXXXXX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Prefeito Municipal de XXXX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Ubuntu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color w:val="00000A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c90851"/>
    <w:pPr>
      <w:widowControl/>
      <w:suppressAutoHyphens w:val="true"/>
      <w:bidi w:val="0"/>
      <w:jc w:val="left"/>
    </w:pPr>
    <w:rPr>
      <w:rFonts w:ascii="Cambria" w:hAnsi="Cambria" w:eastAsia="MS Mincho" w:cs="Times New Roman"/>
      <w:color w:val="00000A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90851"/>
    <w:rPr>
      <w:rFonts w:ascii="Lucida Grande" w:hAnsi="Lucida Grande" w:cs="Lucida Grande"/>
      <w:sz w:val="18"/>
      <w:szCs w:val="18"/>
    </w:rPr>
  </w:style>
  <w:style w:type="paragraph" w:styleId="Ttulo">
    <w:name w:val="Título"/>
    <w:basedOn w:val="Normal1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1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Arial" w:hAnsi="Arial" w:eastAsia="MS Mincho" w:cs="FreeSans"/>
      <w:color w:val="00000A"/>
      <w:kern w:val="0"/>
      <w:sz w:val="24"/>
      <w:szCs w:val="24"/>
      <w:lang w:val="pt-BR" w:eastAsia="en-US" w:bidi="ar-S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ascii="Arial" w:hAnsi="Arial"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spacing w:before="240" w:after="120"/>
    </w:pPr>
    <w:rPr>
      <w:rFonts w:ascii="Ubuntu" w:hAnsi="Ubuntu" w:eastAsia="Droid Sans Fallback" w:cs="FreeSans"/>
      <w:sz w:val="28"/>
      <w:szCs w:val="28"/>
    </w:rPr>
  </w:style>
  <w:style w:type="paragraph" w:styleId="Corpodotexto" w:customStyle="1">
    <w:name w:val="Corpo do texto"/>
    <w:basedOn w:val="Normal1"/>
    <w:qFormat/>
    <w:pPr>
      <w:spacing w:lineRule="auto" w:line="288" w:before="0" w:after="140"/>
    </w:pPr>
    <w:rPr/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ascii="Arial" w:hAnsi="Arial" w:cs="FreeSans"/>
      <w:i/>
      <w:iCs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c90851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1"/>
    <w:uiPriority w:val="34"/>
    <w:qFormat/>
    <w:rsid w:val="007d6c94"/>
    <w:pPr>
      <w:spacing w:before="0" w:after="0"/>
      <w:ind w:left="720" w:hanging="0"/>
      <w:contextualSpacing/>
    </w:pPr>
    <w:rPr/>
  </w:style>
  <w:style w:type="paragraph" w:styleId="Contedodoquadro" w:customStyle="1">
    <w:name w:val="Conteúdo do quadro"/>
    <w:basedOn w:val="Normal1"/>
    <w:qFormat/>
    <w:pPr/>
    <w:rPr/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uyDSmTbc13uZvGZkhhgZD8MzlQ==">AMUW2mXL6bCrChGWPepUKeD9/qL8O3TPOz2nMFPXnYkMn2yzKztiDLM/LmBujo0KSfkMSZ0dk7I7eMFotzb53QDyYESvxctZYDqBp4tnb4Ec8Vy77UC2EWE=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 LibreOffice_project/f7f06a8f319e4b62f9bc5095aa112a65d2f3ac89</Application>
  <Pages>10</Pages>
  <Words>2943</Words>
  <Characters>16782</Characters>
  <CharactersWithSpaces>19781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2020-07-28T13:19:00Z</dcterms:created>
  <dc:creator>Leonardo Rossini</dc:creator>
  <dc:description/>
  <dc:language>pt-BR</dc:language>
  <cp:lastModifiedBy/>
  <dcterms:modified xsi:type="dcterms:W3CDTF">2021-09-20T20:33:41Z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0x010100A3EEA384FFCDB44C9F9830B04DB43952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