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AF4C23" w14:textId="04A4798F" w:rsidR="006A0BD8" w:rsidRPr="006A0BD8" w:rsidRDefault="006A0BD8" w:rsidP="006A0BD8">
      <w:pPr>
        <w:spacing w:line="240" w:lineRule="auto"/>
        <w:jc w:val="both"/>
        <w:rPr>
          <w:rFonts w:cs="Times New Roman"/>
          <w:b/>
        </w:rPr>
      </w:pPr>
      <w:r w:rsidRPr="006A0BD8">
        <w:rPr>
          <w:rFonts w:cs="Times New Roman"/>
          <w:b/>
        </w:rPr>
        <w:t>EXCELENTÍSSIMO(A) SENHOR(A) JUIZ(A) DE DIREITO DA COMARCA DE</w:t>
      </w:r>
      <w:r w:rsidR="009F4D37">
        <w:rPr>
          <w:rFonts w:cs="Times New Roman"/>
          <w:b/>
        </w:rPr>
        <w:t xml:space="preserve"> __________________</w:t>
      </w:r>
    </w:p>
    <w:p w14:paraId="11B23E5C" w14:textId="77777777" w:rsidR="006A0BD8" w:rsidRDefault="006A0BD8" w:rsidP="006A0BD8">
      <w:pPr>
        <w:spacing w:line="240" w:lineRule="auto"/>
        <w:jc w:val="center"/>
        <w:rPr>
          <w:rFonts w:cs="Times New Roman"/>
          <w:b/>
        </w:rPr>
      </w:pPr>
    </w:p>
    <w:p w14:paraId="17B470B7" w14:textId="1B9A9863" w:rsidR="00AB4372" w:rsidRDefault="00AB4372" w:rsidP="00AB4372">
      <w:pPr>
        <w:spacing w:line="240" w:lineRule="auto"/>
        <w:rPr>
          <w:rFonts w:cs="Times New Roman"/>
          <w:b/>
        </w:rPr>
      </w:pPr>
    </w:p>
    <w:p w14:paraId="14D4D154" w14:textId="436F424E" w:rsidR="00B80FCD" w:rsidRDefault="00B80FCD" w:rsidP="00AB4372">
      <w:pPr>
        <w:spacing w:line="240" w:lineRule="auto"/>
        <w:rPr>
          <w:rFonts w:cs="Times New Roman"/>
          <w:b/>
        </w:rPr>
      </w:pPr>
    </w:p>
    <w:p w14:paraId="1E4F8C6B" w14:textId="6CCAB5CB" w:rsidR="00B80FCD" w:rsidRDefault="00B80FCD" w:rsidP="00AB4372">
      <w:pPr>
        <w:spacing w:line="240" w:lineRule="auto"/>
        <w:rPr>
          <w:rFonts w:cs="Times New Roman"/>
          <w:b/>
        </w:rPr>
      </w:pPr>
    </w:p>
    <w:p w14:paraId="37AD0D2E" w14:textId="04DF6EDD" w:rsidR="00B80FCD" w:rsidRDefault="00B80FCD" w:rsidP="00AB4372">
      <w:pPr>
        <w:spacing w:line="240" w:lineRule="auto"/>
        <w:rPr>
          <w:rFonts w:cs="Times New Roman"/>
          <w:b/>
        </w:rPr>
      </w:pPr>
    </w:p>
    <w:p w14:paraId="0AACBCE6" w14:textId="77777777" w:rsidR="00B80FCD" w:rsidRDefault="00B80FCD" w:rsidP="00AB4372">
      <w:pPr>
        <w:spacing w:line="240" w:lineRule="auto"/>
        <w:rPr>
          <w:rFonts w:cs="Times New Roman"/>
          <w:b/>
        </w:rPr>
      </w:pPr>
    </w:p>
    <w:p w14:paraId="2084CD85" w14:textId="77777777" w:rsidR="00E46D1A" w:rsidRDefault="00E46D1A" w:rsidP="00695AD8">
      <w:pPr>
        <w:spacing w:line="240" w:lineRule="auto"/>
        <w:jc w:val="both"/>
        <w:rPr>
          <w:rFonts w:cs="Times New Roman"/>
          <w:b/>
        </w:rPr>
      </w:pPr>
    </w:p>
    <w:p w14:paraId="55BA61B5" w14:textId="77777777" w:rsidR="00E46D1A" w:rsidRDefault="00E46D1A" w:rsidP="00695AD8">
      <w:pPr>
        <w:spacing w:line="240" w:lineRule="auto"/>
        <w:jc w:val="both"/>
        <w:rPr>
          <w:rFonts w:cs="Times New Roman"/>
          <w:b/>
        </w:rPr>
      </w:pPr>
    </w:p>
    <w:p w14:paraId="33078F0F" w14:textId="77777777" w:rsidR="00E46D1A" w:rsidRDefault="00E46D1A" w:rsidP="00695AD8">
      <w:pPr>
        <w:spacing w:line="240" w:lineRule="auto"/>
        <w:jc w:val="both"/>
        <w:rPr>
          <w:rFonts w:cs="Times New Roman"/>
          <w:b/>
        </w:rPr>
      </w:pPr>
    </w:p>
    <w:p w14:paraId="2735BD30" w14:textId="6A434DAB" w:rsidR="006A0BD8" w:rsidRDefault="00695AD8" w:rsidP="00695AD8">
      <w:pPr>
        <w:spacing w:line="240" w:lineRule="auto"/>
        <w:jc w:val="both"/>
        <w:rPr>
          <w:rFonts w:cs="Times New Roman"/>
          <w:b/>
        </w:rPr>
      </w:pPr>
      <w:r w:rsidRPr="00695AD8">
        <w:rPr>
          <w:rFonts w:cs="Times New Roman"/>
          <w:b/>
        </w:rPr>
        <w:t>TUTELA PROVISÓRIA DE URGÊNCIA</w:t>
      </w:r>
    </w:p>
    <w:p w14:paraId="488C2727" w14:textId="1FD78844" w:rsidR="00695AD8" w:rsidRDefault="00695AD8" w:rsidP="00AB4372">
      <w:pPr>
        <w:spacing w:line="360" w:lineRule="auto"/>
        <w:rPr>
          <w:rFonts w:cs="Times New Roman"/>
          <w:b/>
        </w:rPr>
      </w:pPr>
    </w:p>
    <w:p w14:paraId="2A9361D6" w14:textId="731D0D01" w:rsidR="00B80FCD" w:rsidRDefault="00B80FCD" w:rsidP="00AB4372">
      <w:pPr>
        <w:spacing w:line="360" w:lineRule="auto"/>
        <w:rPr>
          <w:rFonts w:cs="Times New Roman"/>
          <w:b/>
        </w:rPr>
      </w:pPr>
    </w:p>
    <w:p w14:paraId="41410A56" w14:textId="4408088B" w:rsidR="00B80FCD" w:rsidRDefault="00B80FCD" w:rsidP="00CA4FDC">
      <w:pPr>
        <w:spacing w:line="360" w:lineRule="auto"/>
        <w:ind w:firstLine="1701"/>
        <w:jc w:val="both"/>
        <w:rPr>
          <w:rFonts w:cs="Times New Roman"/>
          <w:b/>
        </w:rPr>
      </w:pPr>
    </w:p>
    <w:p w14:paraId="033C8B06" w14:textId="77777777" w:rsidR="00E46D1A" w:rsidRDefault="00E46D1A" w:rsidP="00CA4FDC">
      <w:pPr>
        <w:spacing w:line="360" w:lineRule="auto"/>
        <w:ind w:firstLine="1701"/>
        <w:jc w:val="both"/>
        <w:rPr>
          <w:rFonts w:cs="Times New Roman"/>
          <w:b/>
        </w:rPr>
      </w:pPr>
    </w:p>
    <w:p w14:paraId="7C96F28A" w14:textId="77777777" w:rsidR="00B80FCD" w:rsidRDefault="00B80FCD" w:rsidP="00CA4FDC">
      <w:pPr>
        <w:spacing w:line="360" w:lineRule="auto"/>
        <w:ind w:firstLine="1701"/>
        <w:jc w:val="both"/>
        <w:rPr>
          <w:rFonts w:cs="Times New Roman"/>
          <w:b/>
        </w:rPr>
      </w:pPr>
    </w:p>
    <w:p w14:paraId="00D9519A" w14:textId="2C1C274F" w:rsidR="00B80FCD" w:rsidRDefault="00B80FCD" w:rsidP="00CA4FDC">
      <w:pPr>
        <w:spacing w:line="360" w:lineRule="auto"/>
        <w:ind w:firstLine="1701"/>
        <w:jc w:val="both"/>
        <w:rPr>
          <w:rFonts w:cs="Times New Roman"/>
          <w:b/>
        </w:rPr>
      </w:pPr>
    </w:p>
    <w:p w14:paraId="4F1CDB8A" w14:textId="77777777" w:rsidR="00B80FCD" w:rsidRDefault="00B80FCD" w:rsidP="00CA4FDC">
      <w:pPr>
        <w:spacing w:line="360" w:lineRule="auto"/>
        <w:ind w:firstLine="1701"/>
        <w:jc w:val="both"/>
        <w:rPr>
          <w:rFonts w:cs="Times New Roman"/>
          <w:b/>
        </w:rPr>
      </w:pPr>
    </w:p>
    <w:p w14:paraId="515BB46F" w14:textId="77777777" w:rsidR="00AB4372" w:rsidRDefault="00AB4372" w:rsidP="00CA4FDC">
      <w:pPr>
        <w:spacing w:line="360" w:lineRule="auto"/>
        <w:ind w:firstLine="1701"/>
        <w:jc w:val="both"/>
        <w:rPr>
          <w:rFonts w:cs="Times New Roman"/>
          <w:b/>
        </w:rPr>
      </w:pPr>
    </w:p>
    <w:p w14:paraId="11024F36" w14:textId="21AFD57C" w:rsidR="00AB4372" w:rsidRDefault="006A0BD8" w:rsidP="00695AD8">
      <w:pPr>
        <w:spacing w:line="360" w:lineRule="auto"/>
        <w:ind w:firstLine="1701"/>
        <w:jc w:val="both"/>
      </w:pPr>
      <w:r w:rsidRPr="006A0BD8">
        <w:rPr>
          <w:rFonts w:cs="Times New Roman"/>
          <w:b/>
        </w:rPr>
        <w:t>O MINISTÉRIO PÚBLICO DO ESTADO DO CEARÁ</w:t>
      </w:r>
      <w:r w:rsidRPr="006A0BD8">
        <w:rPr>
          <w:rFonts w:cs="Times New Roman"/>
        </w:rPr>
        <w:t xml:space="preserve">, </w:t>
      </w:r>
      <w:r w:rsidR="00AB4372">
        <w:rPr>
          <w:rStyle w:val="Forte"/>
          <w:b w:val="0"/>
          <w:bCs w:val="0"/>
        </w:rPr>
        <w:t>pelo</w:t>
      </w:r>
      <w:r w:rsidR="00AB4372">
        <w:t xml:space="preserve"> Promotor de Justiça que subscreve, em exercício nesta Comarca </w:t>
      </w:r>
      <w:r w:rsidR="00695AD8">
        <w:t>e no uso de suas atribuições constitucionais e com fulcro no artigo 129, inciso III, da Constituição Federal de 1988; no artigo 5º, inciso I, e no artigo 3º, ambos da Lei n. 7.347/1985; no artigo 25, inciso IV, alínea “a”, da Lei n. 8.625/1993; vem, perante Vossa Excelência, propor</w:t>
      </w:r>
    </w:p>
    <w:p w14:paraId="719DBA01" w14:textId="77777777" w:rsidR="00B80FCD" w:rsidRDefault="00B80FCD" w:rsidP="00695AD8">
      <w:pPr>
        <w:spacing w:line="360" w:lineRule="auto"/>
        <w:ind w:firstLine="1701"/>
        <w:jc w:val="both"/>
      </w:pPr>
    </w:p>
    <w:p w14:paraId="24F3F67D" w14:textId="77777777" w:rsidR="00695AD8" w:rsidRPr="00695AD8" w:rsidRDefault="00695AD8" w:rsidP="00695AD8">
      <w:pPr>
        <w:spacing w:line="360" w:lineRule="auto"/>
        <w:jc w:val="center"/>
        <w:rPr>
          <w:b/>
          <w:bCs/>
        </w:rPr>
      </w:pPr>
      <w:r w:rsidRPr="00695AD8">
        <w:rPr>
          <w:b/>
          <w:bCs/>
        </w:rPr>
        <w:t>AÇÃO CIVIL PÚBLICA PARA IMPOSIÇÃO DE OBRIGAÇÃO DE FAZER</w:t>
      </w:r>
    </w:p>
    <w:p w14:paraId="3E43D4AE" w14:textId="4E43952E" w:rsidR="00695AD8" w:rsidRPr="00695AD8" w:rsidRDefault="00695AD8" w:rsidP="00695AD8">
      <w:pPr>
        <w:spacing w:line="360" w:lineRule="auto"/>
        <w:jc w:val="center"/>
        <w:rPr>
          <w:b/>
          <w:bCs/>
        </w:rPr>
      </w:pPr>
      <w:r w:rsidRPr="00695AD8">
        <w:rPr>
          <w:b/>
          <w:bCs/>
        </w:rPr>
        <w:t>observado o rito ordinário e disposições especiais previstas na Lei 7.347/85 contra</w:t>
      </w:r>
      <w:r w:rsidR="00B80FCD">
        <w:rPr>
          <w:b/>
          <w:bCs/>
        </w:rPr>
        <w:t xml:space="preserve"> o</w:t>
      </w:r>
    </w:p>
    <w:p w14:paraId="2D478A7B" w14:textId="77777777" w:rsidR="00695AD8" w:rsidRDefault="00695AD8" w:rsidP="00695AD8">
      <w:pPr>
        <w:spacing w:line="360" w:lineRule="auto"/>
        <w:ind w:firstLine="1701"/>
        <w:jc w:val="both"/>
      </w:pPr>
    </w:p>
    <w:p w14:paraId="4EFD6913" w14:textId="17FFB821" w:rsidR="00695AD8" w:rsidRDefault="00695AD8" w:rsidP="00695AD8">
      <w:pPr>
        <w:spacing w:line="360" w:lineRule="auto"/>
        <w:ind w:firstLine="1701"/>
        <w:jc w:val="both"/>
      </w:pPr>
      <w:r>
        <w:t>MUNICÍPIO DE ________________, pessoa jurídica de direito público, inscrita no CNPJ Nº ___________, representado pelo Prefeito ________ (ou pelo Procurador-Geral do Município onde houver) com sede ___________, pelas razões de fato e de direito que passa a expor:</w:t>
      </w:r>
    </w:p>
    <w:p w14:paraId="484799F0" w14:textId="7DE95EC1" w:rsidR="00695AD8" w:rsidRDefault="00695AD8" w:rsidP="00695AD8">
      <w:pPr>
        <w:spacing w:line="360" w:lineRule="auto"/>
        <w:jc w:val="both"/>
      </w:pPr>
    </w:p>
    <w:p w14:paraId="7CE518C2" w14:textId="7CA97493" w:rsidR="00695AD8" w:rsidRPr="00B80FCD" w:rsidRDefault="00B80FCD" w:rsidP="00B80FCD">
      <w:pPr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B80FCD">
        <w:rPr>
          <w:b/>
          <w:bCs/>
        </w:rPr>
        <w:lastRenderedPageBreak/>
        <w:t>DO OBJETO DA DEMANDA</w:t>
      </w:r>
      <w:r>
        <w:rPr>
          <w:b/>
          <w:bCs/>
        </w:rPr>
        <w:t>:</w:t>
      </w:r>
    </w:p>
    <w:p w14:paraId="44BD0AFE" w14:textId="77777777" w:rsidR="00B80FCD" w:rsidRDefault="00B80FCD" w:rsidP="00B80FCD">
      <w:pPr>
        <w:spacing w:line="360" w:lineRule="auto"/>
        <w:ind w:firstLine="1701"/>
        <w:jc w:val="both"/>
        <w:rPr>
          <w:rFonts w:cs="Times New Roman"/>
        </w:rPr>
      </w:pPr>
    </w:p>
    <w:p w14:paraId="728EC4D8" w14:textId="37A03183" w:rsidR="00B80FCD" w:rsidRDefault="00B80FCD" w:rsidP="00B80FCD">
      <w:pPr>
        <w:spacing w:line="360" w:lineRule="auto"/>
        <w:ind w:firstLine="1701"/>
        <w:jc w:val="both"/>
        <w:rPr>
          <w:rFonts w:cs="Times New Roman"/>
        </w:rPr>
      </w:pPr>
      <w:r w:rsidRPr="00B80FCD">
        <w:rPr>
          <w:rFonts w:cs="Times New Roman"/>
        </w:rPr>
        <w:t>A presente ação civil pública tem por escopo obter provimento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 xml:space="preserve">jurisdicional para que seja imposta, ao MUNICÍPIO DE </w:t>
      </w:r>
      <w:r>
        <w:rPr>
          <w:rFonts w:cs="Times New Roman"/>
        </w:rPr>
        <w:t>________________</w:t>
      </w:r>
      <w:r w:rsidRPr="00B80FCD">
        <w:rPr>
          <w:rFonts w:cs="Times New Roman"/>
        </w:rPr>
        <w:t>, a obrigação de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 xml:space="preserve">fazer de criar </w:t>
      </w:r>
      <w:r w:rsidRPr="00E46D1A">
        <w:rPr>
          <w:rFonts w:cs="Times New Roman"/>
          <w:i/>
          <w:iCs/>
        </w:rPr>
        <w:t>site</w:t>
      </w:r>
      <w:r w:rsidRPr="00B80FCD">
        <w:rPr>
          <w:rFonts w:cs="Times New Roman"/>
        </w:rPr>
        <w:t xml:space="preserve"> específico (ou aba específica no </w:t>
      </w:r>
      <w:r w:rsidRPr="00E46D1A">
        <w:rPr>
          <w:rFonts w:cs="Times New Roman"/>
          <w:i/>
          <w:iCs/>
        </w:rPr>
        <w:t>site</w:t>
      </w:r>
      <w:r w:rsidRPr="00B80FCD">
        <w:rPr>
          <w:rFonts w:cs="Times New Roman"/>
        </w:rPr>
        <w:t xml:space="preserve"> oficial do Município) para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 xml:space="preserve">publicação dos dados e informações relativos </w:t>
      </w:r>
      <w:r w:rsidRPr="00E46D1A">
        <w:rPr>
          <w:rFonts w:cs="Times New Roman"/>
          <w:b/>
          <w:bCs/>
        </w:rPr>
        <w:t>ao Plano Nacional de Operacionalização da Vacinação contra a Covid-19</w:t>
      </w:r>
      <w:r w:rsidRPr="00B80FCD">
        <w:rPr>
          <w:rFonts w:cs="Times New Roman"/>
        </w:rPr>
        <w:t xml:space="preserve"> e de sua execução, conforme exigido pelo artigo 37 da C</w:t>
      </w:r>
      <w:r w:rsidR="00E46D1A">
        <w:rPr>
          <w:rFonts w:cs="Times New Roman"/>
        </w:rPr>
        <w:t>onstituição Federal</w:t>
      </w:r>
      <w:r w:rsidRPr="00B80FCD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Lei 12.527/2011</w:t>
      </w:r>
      <w:r w:rsidR="00E46D1A">
        <w:rPr>
          <w:rFonts w:cs="Times New Roman"/>
        </w:rPr>
        <w:t xml:space="preserve"> (Lei de Acesso à Informação)</w:t>
      </w:r>
      <w:r w:rsidRPr="00B80FCD">
        <w:rPr>
          <w:rFonts w:cs="Times New Roman"/>
        </w:rPr>
        <w:t>, bem como pelo artigo 14 da M</w:t>
      </w:r>
      <w:r w:rsidR="00E46D1A">
        <w:rPr>
          <w:rFonts w:cs="Times New Roman"/>
        </w:rPr>
        <w:t xml:space="preserve">edida </w:t>
      </w:r>
      <w:r w:rsidRPr="00B80FCD">
        <w:rPr>
          <w:rFonts w:cs="Times New Roman"/>
        </w:rPr>
        <w:t>P</w:t>
      </w:r>
      <w:r w:rsidR="00E46D1A">
        <w:rPr>
          <w:rFonts w:cs="Times New Roman"/>
        </w:rPr>
        <w:t>rovisória</w:t>
      </w:r>
      <w:r w:rsidRPr="00B80FCD">
        <w:rPr>
          <w:rFonts w:cs="Times New Roman"/>
        </w:rPr>
        <w:t xml:space="preserve"> 1026/2021, com alimentação diária das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informações, a fim de possibilitar o acompanhamento e controle, em tempo real, pelos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cidadãos e pelos órgãos de controle.</w:t>
      </w:r>
    </w:p>
    <w:p w14:paraId="0AA22022" w14:textId="77777777" w:rsidR="00B80FCD" w:rsidRDefault="00B80FCD" w:rsidP="00B80FCD">
      <w:pPr>
        <w:spacing w:line="360" w:lineRule="auto"/>
        <w:ind w:firstLine="1701"/>
        <w:jc w:val="both"/>
        <w:rPr>
          <w:rFonts w:cs="Times New Roman"/>
        </w:rPr>
      </w:pPr>
    </w:p>
    <w:p w14:paraId="4CF3BB8B" w14:textId="31D031D0" w:rsidR="00AB4372" w:rsidRPr="00B80FCD" w:rsidRDefault="006A0BD8" w:rsidP="00B80FCD">
      <w:pPr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6A0BD8">
        <w:rPr>
          <w:rFonts w:cs="Times New Roman"/>
          <w:b/>
        </w:rPr>
        <w:t>DOS FATOS:</w:t>
      </w:r>
    </w:p>
    <w:p w14:paraId="4037F59E" w14:textId="3DD68025" w:rsidR="00AB4372" w:rsidRDefault="00AB4372" w:rsidP="00AB4372">
      <w:pPr>
        <w:shd w:val="clear" w:color="auto" w:fill="FDFDFD"/>
        <w:spacing w:line="360" w:lineRule="auto"/>
        <w:jc w:val="both"/>
        <w:rPr>
          <w:rFonts w:cs="Times New Roman"/>
        </w:rPr>
      </w:pPr>
    </w:p>
    <w:p w14:paraId="2516AD2A" w14:textId="77777777" w:rsidR="00AC436F" w:rsidRDefault="00AB4372" w:rsidP="00AC436F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AB4372">
        <w:rPr>
          <w:rFonts w:cs="Times New Roman"/>
        </w:rPr>
        <w:t>Em março de 2020, a Organização Mundial de Saúde – OMS, declarou a COVID-19 (infecção por</w:t>
      </w:r>
      <w:r>
        <w:rPr>
          <w:rFonts w:cs="Times New Roman"/>
        </w:rPr>
        <w:t xml:space="preserve"> </w:t>
      </w:r>
      <w:r w:rsidRPr="00AB4372">
        <w:rPr>
          <w:rFonts w:cs="Times New Roman"/>
        </w:rPr>
        <w:t>SARS-CoV-2) como pandemia. Ao longo do referido ano e até a apresente data, a doença alcançou a população de</w:t>
      </w:r>
      <w:r>
        <w:rPr>
          <w:rFonts w:cs="Times New Roman"/>
        </w:rPr>
        <w:t xml:space="preserve"> </w:t>
      </w:r>
      <w:r w:rsidRPr="00AB4372">
        <w:rPr>
          <w:rFonts w:cs="Times New Roman"/>
        </w:rPr>
        <w:t xml:space="preserve">mais de 200 países, acumulando um total de </w:t>
      </w:r>
      <w:r w:rsidR="00AC436F" w:rsidRPr="00AC436F">
        <w:rPr>
          <w:rFonts w:cs="Times New Roman"/>
        </w:rPr>
        <w:t xml:space="preserve">102.942.987 </w:t>
      </w:r>
      <w:r w:rsidRPr="00AB4372">
        <w:rPr>
          <w:rFonts w:cs="Times New Roman"/>
        </w:rPr>
        <w:t>(</w:t>
      </w:r>
      <w:r w:rsidR="00AC436F">
        <w:rPr>
          <w:rFonts w:cs="Times New Roman"/>
        </w:rPr>
        <w:t>cento e dois</w:t>
      </w:r>
      <w:r w:rsidRPr="00AB4372">
        <w:rPr>
          <w:rFonts w:cs="Times New Roman"/>
        </w:rPr>
        <w:t xml:space="preserve"> milhões</w:t>
      </w:r>
      <w:r w:rsidR="00AC436F">
        <w:rPr>
          <w:rFonts w:cs="Times New Roman"/>
        </w:rPr>
        <w:t>,</w:t>
      </w:r>
      <w:r w:rsidRPr="00AB4372">
        <w:rPr>
          <w:rFonts w:cs="Times New Roman"/>
        </w:rPr>
        <w:t xml:space="preserve"> </w:t>
      </w:r>
      <w:r w:rsidR="00AC436F">
        <w:rPr>
          <w:rFonts w:cs="Times New Roman"/>
        </w:rPr>
        <w:t>novecentos e quarenta e dois mil e novecentos e oitenta e sete</w:t>
      </w:r>
      <w:r w:rsidRPr="00AB4372">
        <w:rPr>
          <w:rFonts w:cs="Times New Roman"/>
        </w:rPr>
        <w:t>)</w:t>
      </w:r>
      <w:r w:rsidR="00AC436F">
        <w:rPr>
          <w:rFonts w:cs="Times New Roman"/>
        </w:rPr>
        <w:t xml:space="preserve"> </w:t>
      </w:r>
      <w:r w:rsidR="00AC436F" w:rsidRPr="00AC436F">
        <w:rPr>
          <w:rFonts w:cs="Times New Roman"/>
        </w:rPr>
        <w:t xml:space="preserve">casos confirmados </w:t>
      </w:r>
      <w:r w:rsidRPr="00AB4372">
        <w:rPr>
          <w:rFonts w:cs="Times New Roman"/>
        </w:rPr>
        <w:t xml:space="preserve">e </w:t>
      </w:r>
      <w:r w:rsidR="00AC436F" w:rsidRPr="00AC436F">
        <w:rPr>
          <w:rFonts w:cs="Times New Roman"/>
        </w:rPr>
        <w:t xml:space="preserve">2.232.233 </w:t>
      </w:r>
      <w:r w:rsidRPr="00AB4372">
        <w:rPr>
          <w:rFonts w:cs="Times New Roman"/>
        </w:rPr>
        <w:t>(dois milhões</w:t>
      </w:r>
      <w:r w:rsidR="00AC436F">
        <w:rPr>
          <w:rFonts w:cs="Times New Roman"/>
        </w:rPr>
        <w:t>, duzentos e trinta e dois mil, duzentos e trinta e três)</w:t>
      </w:r>
      <w:r>
        <w:rPr>
          <w:rFonts w:cs="Times New Roman"/>
        </w:rPr>
        <w:t xml:space="preserve"> </w:t>
      </w:r>
      <w:r w:rsidRPr="00AB4372">
        <w:rPr>
          <w:rFonts w:cs="Times New Roman"/>
        </w:rPr>
        <w:t>mortos</w:t>
      </w:r>
      <w:r w:rsidR="00AC436F">
        <w:rPr>
          <w:rStyle w:val="Refdenotaderodap"/>
          <w:rFonts w:cs="Times New Roman"/>
        </w:rPr>
        <w:footnoteReference w:id="1"/>
      </w:r>
      <w:r w:rsidRPr="00AB4372">
        <w:rPr>
          <w:rFonts w:cs="Times New Roman"/>
        </w:rPr>
        <w:t>.</w:t>
      </w:r>
    </w:p>
    <w:p w14:paraId="448E053C" w14:textId="77777777" w:rsidR="00C615E7" w:rsidRDefault="00AB4372" w:rsidP="00C615E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AB4372">
        <w:rPr>
          <w:rFonts w:cs="Times New Roman"/>
        </w:rPr>
        <w:t xml:space="preserve">Especificamente, no Brasil, os números estão em patamares bastante elevados, com </w:t>
      </w:r>
      <w:r w:rsidR="00AC436F" w:rsidRPr="00AC436F">
        <w:rPr>
          <w:rFonts w:cs="Times New Roman"/>
        </w:rPr>
        <w:t xml:space="preserve">9.283.418 </w:t>
      </w:r>
      <w:r w:rsidR="00AC436F">
        <w:rPr>
          <w:rFonts w:cs="Times New Roman"/>
        </w:rPr>
        <w:t xml:space="preserve">(nove </w:t>
      </w:r>
      <w:r w:rsidRPr="00AB4372">
        <w:rPr>
          <w:rFonts w:cs="Times New Roman"/>
        </w:rPr>
        <w:t>milhões</w:t>
      </w:r>
      <w:r w:rsidR="00AC436F">
        <w:rPr>
          <w:rFonts w:cs="Times New Roman"/>
        </w:rPr>
        <w:t>,</w:t>
      </w:r>
      <w:r w:rsidRPr="00AB4372">
        <w:rPr>
          <w:rFonts w:cs="Times New Roman"/>
        </w:rPr>
        <w:t xml:space="preserve"> </w:t>
      </w:r>
      <w:r w:rsidR="00AC436F">
        <w:rPr>
          <w:rFonts w:cs="Times New Roman"/>
        </w:rPr>
        <w:t>duzentos e oitenta e três</w:t>
      </w:r>
      <w:r w:rsidRPr="00AB4372">
        <w:rPr>
          <w:rFonts w:cs="Times New Roman"/>
        </w:rPr>
        <w:t xml:space="preserve"> mil</w:t>
      </w:r>
      <w:r w:rsidR="00AC436F">
        <w:rPr>
          <w:rFonts w:cs="Times New Roman"/>
        </w:rPr>
        <w:t>,</w:t>
      </w:r>
      <w:r w:rsidRPr="00AB4372">
        <w:rPr>
          <w:rFonts w:cs="Times New Roman"/>
        </w:rPr>
        <w:t xml:space="preserve"> </w:t>
      </w:r>
      <w:r w:rsidR="00AC436F">
        <w:rPr>
          <w:rFonts w:cs="Times New Roman"/>
        </w:rPr>
        <w:t>quatrocentos e dezoito</w:t>
      </w:r>
      <w:r w:rsidRPr="00AB4372">
        <w:rPr>
          <w:rFonts w:cs="Times New Roman"/>
        </w:rPr>
        <w:t xml:space="preserve">) infectados e </w:t>
      </w:r>
      <w:r w:rsidR="00AC436F" w:rsidRPr="00AC436F">
        <w:rPr>
          <w:rFonts w:cs="Times New Roman"/>
        </w:rPr>
        <w:t>226.309</w:t>
      </w:r>
      <w:r w:rsidR="00AC436F">
        <w:rPr>
          <w:rFonts w:cs="Times New Roman"/>
        </w:rPr>
        <w:t xml:space="preserve"> </w:t>
      </w:r>
      <w:r w:rsidRPr="00AB4372">
        <w:rPr>
          <w:rFonts w:cs="Times New Roman"/>
        </w:rPr>
        <w:t xml:space="preserve">(duzentos e </w:t>
      </w:r>
      <w:r w:rsidR="00AC436F">
        <w:rPr>
          <w:rFonts w:cs="Times New Roman"/>
        </w:rPr>
        <w:t>vinte e seis</w:t>
      </w:r>
      <w:r w:rsidRPr="00AB4372">
        <w:rPr>
          <w:rFonts w:cs="Times New Roman"/>
        </w:rPr>
        <w:t xml:space="preserve"> mil</w:t>
      </w:r>
      <w:r w:rsidR="00AC436F">
        <w:rPr>
          <w:rFonts w:cs="Times New Roman"/>
        </w:rPr>
        <w:t>, trezentos e nove</w:t>
      </w:r>
      <w:r w:rsidRPr="00AB4372">
        <w:rPr>
          <w:rFonts w:cs="Times New Roman"/>
        </w:rPr>
        <w:t xml:space="preserve">) mortos, contabilizados oficialmente até </w:t>
      </w:r>
      <w:r w:rsidR="00AC436F">
        <w:rPr>
          <w:rFonts w:cs="Times New Roman"/>
        </w:rPr>
        <w:t>03</w:t>
      </w:r>
      <w:r w:rsidRPr="00AB4372">
        <w:rPr>
          <w:rFonts w:cs="Times New Roman"/>
        </w:rPr>
        <w:t>.0</w:t>
      </w:r>
      <w:r w:rsidR="00AC436F">
        <w:rPr>
          <w:rFonts w:cs="Times New Roman"/>
        </w:rPr>
        <w:t>2</w:t>
      </w:r>
      <w:r w:rsidRPr="00AB4372">
        <w:rPr>
          <w:rFonts w:cs="Times New Roman"/>
        </w:rPr>
        <w:t>.2021</w:t>
      </w:r>
      <w:r w:rsidR="00AC436F">
        <w:rPr>
          <w:rStyle w:val="Refdenotaderodap"/>
          <w:rFonts w:cs="Times New Roman"/>
        </w:rPr>
        <w:footnoteReference w:id="2"/>
      </w:r>
      <w:r w:rsidRPr="00AB4372">
        <w:rPr>
          <w:rFonts w:cs="Times New Roman"/>
        </w:rPr>
        <w:t>. Números estes que, embora</w:t>
      </w:r>
      <w:r w:rsidR="00AC436F">
        <w:rPr>
          <w:rFonts w:cs="Times New Roman"/>
        </w:rPr>
        <w:t xml:space="preserve"> </w:t>
      </w:r>
      <w:r w:rsidRPr="00AB4372">
        <w:rPr>
          <w:rFonts w:cs="Times New Roman"/>
        </w:rPr>
        <w:t xml:space="preserve">extremamente altos, ainda desconsideram as subnotificações, e, ainda, </w:t>
      </w:r>
      <w:r w:rsidR="00AC436F">
        <w:rPr>
          <w:rFonts w:cs="Times New Roman"/>
        </w:rPr>
        <w:t>estão</w:t>
      </w:r>
      <w:r w:rsidRPr="00AB4372">
        <w:rPr>
          <w:rFonts w:cs="Times New Roman"/>
        </w:rPr>
        <w:t xml:space="preserve"> em estágio de crescimento no</w:t>
      </w:r>
      <w:r w:rsidR="00AC436F">
        <w:rPr>
          <w:rFonts w:cs="Times New Roman"/>
        </w:rPr>
        <w:t xml:space="preserve"> </w:t>
      </w:r>
      <w:r w:rsidRPr="00AB4372">
        <w:rPr>
          <w:rFonts w:cs="Times New Roman"/>
        </w:rPr>
        <w:t>país</w:t>
      </w:r>
      <w:r w:rsidR="00AC436F">
        <w:rPr>
          <w:rFonts w:cs="Times New Roman"/>
        </w:rPr>
        <w:t>.</w:t>
      </w:r>
    </w:p>
    <w:p w14:paraId="6A3FFC21" w14:textId="33B872BA" w:rsidR="00B80FCD" w:rsidRDefault="00B80FCD" w:rsidP="00B80FCD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80FCD">
        <w:rPr>
          <w:rFonts w:cs="Times New Roman"/>
        </w:rPr>
        <w:t>Constitui fato notório as consequências deletérias, nos mais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diversos âmbitos, geradas pela pandemia, em todo mundo e, em especial, no Brasil, que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figura entre os 3 (três) países mais afetados pela doença no mundo, destacando-se,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atualmente, a situação calamitosa vivenciada no Estado do Amazonas, decorrente do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 xml:space="preserve">crescimento acelerado da </w:t>
      </w:r>
      <w:r w:rsidRPr="00B80FCD">
        <w:rPr>
          <w:rFonts w:cs="Times New Roman"/>
        </w:rPr>
        <w:lastRenderedPageBreak/>
        <w:t>doença associado à falta de oxigênio para tratamento dos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pacientes, levando à morte precoce de dezenas deles.</w:t>
      </w:r>
    </w:p>
    <w:p w14:paraId="242FD974" w14:textId="77777777" w:rsidR="00B80FCD" w:rsidRDefault="00B80FCD" w:rsidP="00B80FCD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80FCD">
        <w:rPr>
          <w:rFonts w:cs="Times New Roman"/>
        </w:rPr>
        <w:t>Entre as consequências gravosas, a principal delas, por óbvio,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é o total de vidas perdidas em razão da doença, não só pela quantidade alcançada, mas,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sobretudo, em sua individualidade, cada uma delas, com suas famílias enlutadas.</w:t>
      </w:r>
    </w:p>
    <w:p w14:paraId="2D8DDE9C" w14:textId="2FBA9697" w:rsidR="00C615E7" w:rsidRPr="00C615E7" w:rsidRDefault="00C615E7" w:rsidP="00B80FCD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C615E7">
        <w:rPr>
          <w:rFonts w:cs="Times New Roman"/>
        </w:rPr>
        <w:t>Não bastasse isso, o que já seria suficiente para entendimento da gravidade da situação, a pandemia de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COVID-19 tem um aspecto próprio afeto ao interesse público: cuida-se de doença que ataca diretamente o sistema de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saúde, com alta probabilidade de alcance do seu colapso (demanda maior do que a capacidade de atendimento)</w:t>
      </w:r>
      <w:r>
        <w:rPr>
          <w:rStyle w:val="Refdenotaderodap"/>
          <w:rFonts w:cs="Times New Roman"/>
        </w:rPr>
        <w:footnoteReference w:id="3"/>
      </w:r>
      <w:r w:rsidRPr="00C615E7">
        <w:rPr>
          <w:rFonts w:cs="Times New Roman"/>
        </w:rPr>
        <w:t>, de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 xml:space="preserve">modo </w:t>
      </w:r>
      <w:r>
        <w:rPr>
          <w:rFonts w:cs="Times New Roman"/>
        </w:rPr>
        <w:t xml:space="preserve">a </w:t>
      </w:r>
      <w:r w:rsidRPr="00C615E7">
        <w:rPr>
          <w:rFonts w:cs="Times New Roman"/>
        </w:rPr>
        <w:t>inviabilizar o atendimento mínimo a todos que dele necessitem, seja na rede privada, seja na rede pública. Esta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última, inclusive, absorvendo as demandas da primeira.</w:t>
      </w:r>
    </w:p>
    <w:p w14:paraId="67E2B6E4" w14:textId="13390C65" w:rsidR="00AB4372" w:rsidRDefault="00C615E7" w:rsidP="00C615E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C615E7">
        <w:rPr>
          <w:rFonts w:cs="Times New Roman"/>
        </w:rPr>
        <w:t>Diante desse cenário, já no começo do período pandêmico, em paralelo a outras medidas sanitárias e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estudos de aspectos diversos da doença (abrangendo o econômico e social), iniciou-se a busca tanto por medicamentos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para tratamento da doença, com a finalidade de reduzir a taxa de mortalidade e de ocupação dos hospitais, quanto pelo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desenvolvimento de vacinas. Quanto aos primeiros, recentemente, a Agência Nacional de Vigilância Sanitária –ANVISA reconheceu a inexistência</w:t>
      </w:r>
      <w:r>
        <w:rPr>
          <w:rFonts w:cs="Times New Roman"/>
        </w:rPr>
        <w:t>,</w:t>
      </w:r>
      <w:r w:rsidRPr="00C615E7">
        <w:rPr>
          <w:rFonts w:cs="Times New Roman"/>
        </w:rPr>
        <w:t xml:space="preserve"> até o momento</w:t>
      </w:r>
      <w:r>
        <w:rPr>
          <w:rFonts w:cs="Times New Roman"/>
        </w:rPr>
        <w:t>,</w:t>
      </w:r>
      <w:r w:rsidRPr="00C615E7">
        <w:rPr>
          <w:rFonts w:cs="Times New Roman"/>
        </w:rPr>
        <w:t xml:space="preserve"> de medicamentos comprovadamente eficazes</w:t>
      </w:r>
      <w:r>
        <w:rPr>
          <w:rStyle w:val="Refdenotaderodap"/>
          <w:rFonts w:cs="Times New Roman"/>
        </w:rPr>
        <w:footnoteReference w:id="4"/>
      </w:r>
      <w:r w:rsidRPr="00C615E7">
        <w:rPr>
          <w:rFonts w:cs="Times New Roman"/>
        </w:rPr>
        <w:t>, cabendo às vacinas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o papel de contenção da COVID-19.</w:t>
      </w:r>
    </w:p>
    <w:p w14:paraId="0E9D2DF9" w14:textId="1DEA4345" w:rsidR="00C615E7" w:rsidRDefault="00C615E7" w:rsidP="00C615E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C615E7">
        <w:rPr>
          <w:rFonts w:cs="Times New Roman"/>
        </w:rPr>
        <w:t>Foi somente em dezembro de 2020 (um ano após o primeiro caso confirmado de COVID-19) que se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conseguiu a primeira autorização, pela OMS, de uso emergencial de vacina, sendo ela a desenvolvida pela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Pfizer/BioNTech</w:t>
      </w:r>
      <w:r>
        <w:rPr>
          <w:rStyle w:val="Refdenotaderodap"/>
          <w:rFonts w:cs="Times New Roman"/>
        </w:rPr>
        <w:footnoteReference w:id="5"/>
      </w:r>
      <w:r w:rsidRPr="00C615E7">
        <w:rPr>
          <w:rFonts w:cs="Times New Roman"/>
        </w:rPr>
        <w:t>. Nesse mesmo mês, alguns países, como Reino Unido e Estados Unidos da América, já haviam</w:t>
      </w:r>
      <w:r>
        <w:rPr>
          <w:rFonts w:cs="Times New Roman"/>
        </w:rPr>
        <w:t xml:space="preserve"> </w:t>
      </w:r>
      <w:r w:rsidRPr="00C615E7">
        <w:rPr>
          <w:rFonts w:cs="Times New Roman"/>
        </w:rPr>
        <w:t>iniciado a vacinação de parcela de sua população.</w:t>
      </w:r>
    </w:p>
    <w:p w14:paraId="3F237C84" w14:textId="5061F661" w:rsidR="00B74276" w:rsidRDefault="00B74276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>No Brasil, porém, a autorização para uso emergencial de vacina pela ANVISA somente se deu no último</w:t>
      </w:r>
      <w:r>
        <w:rPr>
          <w:rFonts w:cs="Times New Roman"/>
        </w:rPr>
        <w:t xml:space="preserve"> </w:t>
      </w:r>
      <w:r w:rsidRPr="00B74276">
        <w:rPr>
          <w:rFonts w:cs="Times New Roman"/>
        </w:rPr>
        <w:t xml:space="preserve">dia 17/01/2021, relativamente à CoronaVac, desenvolvida </w:t>
      </w:r>
      <w:r w:rsidRPr="00B74276">
        <w:rPr>
          <w:rFonts w:cs="Times New Roman"/>
        </w:rPr>
        <w:lastRenderedPageBreak/>
        <w:t>pelo laboratório da Sinovac em parceria com o Instituto</w:t>
      </w:r>
      <w:r>
        <w:rPr>
          <w:rFonts w:cs="Times New Roman"/>
        </w:rPr>
        <w:t xml:space="preserve"> </w:t>
      </w:r>
      <w:r w:rsidRPr="00B74276">
        <w:rPr>
          <w:rFonts w:cs="Times New Roman"/>
        </w:rPr>
        <w:t>Butant</w:t>
      </w:r>
      <w:r>
        <w:rPr>
          <w:rFonts w:cs="Times New Roman"/>
        </w:rPr>
        <w:t>an</w:t>
      </w:r>
      <w:r w:rsidRPr="00B74276">
        <w:rPr>
          <w:rFonts w:cs="Times New Roman"/>
        </w:rPr>
        <w:t>, e à Oxford-AstraZeneca, desenvolvida pela Universidade de Oxford, em parceria com a farmacêutica</w:t>
      </w:r>
      <w:r>
        <w:rPr>
          <w:rFonts w:cs="Times New Roman"/>
        </w:rPr>
        <w:t xml:space="preserve"> </w:t>
      </w:r>
      <w:r w:rsidRPr="00B74276">
        <w:rPr>
          <w:rFonts w:cs="Times New Roman"/>
        </w:rPr>
        <w:t>AstraZeneca, que será produzida, no Brasil, pela Fundação Oswaldo Cruz - Fiocruz</w:t>
      </w:r>
      <w:r>
        <w:rPr>
          <w:rStyle w:val="Refdenotaderodap"/>
          <w:rFonts w:cs="Times New Roman"/>
        </w:rPr>
        <w:footnoteReference w:id="6"/>
      </w:r>
      <w:r w:rsidRPr="00B74276">
        <w:rPr>
          <w:rFonts w:cs="Times New Roman"/>
        </w:rPr>
        <w:t>.</w:t>
      </w:r>
    </w:p>
    <w:p w14:paraId="7EEEFC21" w14:textId="3A7D6000" w:rsidR="00C615E7" w:rsidRDefault="00B74276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 xml:space="preserve">Ocorre que, mesmo com a referida autorização, somente existem disponíveis e autorizadas, hoje, </w:t>
      </w:r>
      <w:r w:rsidR="001715E3">
        <w:rPr>
          <w:rFonts w:cs="Times New Roman"/>
        </w:rPr>
        <w:t>um número limitado</w:t>
      </w:r>
      <w:r w:rsidRPr="00B74276">
        <w:rPr>
          <w:rFonts w:cs="Times New Roman"/>
        </w:rPr>
        <w:t xml:space="preserve"> de doses da vacina CoronaVac. A situação</w:t>
      </w:r>
      <w:r>
        <w:rPr>
          <w:rFonts w:cs="Times New Roman"/>
        </w:rPr>
        <w:t xml:space="preserve"> </w:t>
      </w:r>
      <w:r w:rsidRPr="00B74276">
        <w:rPr>
          <w:rFonts w:cs="Times New Roman"/>
        </w:rPr>
        <w:t>se agrava considerando que o Brasil, embora tenha estrutura para produção das referidas vacinas, não detém a</w:t>
      </w:r>
      <w:r>
        <w:rPr>
          <w:rFonts w:cs="Times New Roman"/>
        </w:rPr>
        <w:t xml:space="preserve"> </w:t>
      </w:r>
      <w:r w:rsidRPr="00B74276">
        <w:rPr>
          <w:rFonts w:cs="Times New Roman"/>
        </w:rPr>
        <w:t>produção dos seus insumos, os quais estão concentrados, em maior parte, na China e Índia, e voltam-se ao suprimento</w:t>
      </w:r>
      <w:r>
        <w:rPr>
          <w:rFonts w:cs="Times New Roman"/>
        </w:rPr>
        <w:t xml:space="preserve"> </w:t>
      </w:r>
      <w:r w:rsidRPr="00B74276">
        <w:rPr>
          <w:rFonts w:cs="Times New Roman"/>
        </w:rPr>
        <w:t>da necessidade mundial pela vacina</w:t>
      </w:r>
      <w:r>
        <w:rPr>
          <w:rStyle w:val="Refdenotaderodap"/>
          <w:rFonts w:cs="Times New Roman"/>
        </w:rPr>
        <w:footnoteReference w:id="7"/>
      </w:r>
      <w:r w:rsidRPr="00B74276">
        <w:rPr>
          <w:rFonts w:cs="Times New Roman"/>
        </w:rPr>
        <w:t>.</w:t>
      </w:r>
    </w:p>
    <w:p w14:paraId="2A9A520B" w14:textId="202AE9AC" w:rsidR="00B74276" w:rsidRPr="00B74276" w:rsidRDefault="00B74276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>O cenário, portanto, é de elevada demanda e escassez na oferta, em nível mundial e, especialmente</w:t>
      </w:r>
      <w:r w:rsidR="00F0546C">
        <w:rPr>
          <w:rFonts w:cs="Times New Roman"/>
        </w:rPr>
        <w:t xml:space="preserve"> </w:t>
      </w:r>
      <w:r w:rsidRPr="00B74276">
        <w:rPr>
          <w:rFonts w:cs="Times New Roman"/>
        </w:rPr>
        <w:t>grave, no Brasil, que enfrenta a incerteza de se e quando poderá produzir doses adicionais de vacina, dada a citada</w:t>
      </w:r>
      <w:r w:rsidR="00F0546C">
        <w:rPr>
          <w:rFonts w:cs="Times New Roman"/>
        </w:rPr>
        <w:t xml:space="preserve"> </w:t>
      </w:r>
      <w:r w:rsidRPr="00B74276">
        <w:rPr>
          <w:rFonts w:cs="Times New Roman"/>
        </w:rPr>
        <w:t>dependência dos insumos.</w:t>
      </w:r>
    </w:p>
    <w:p w14:paraId="512ADA2C" w14:textId="77777777" w:rsidR="000774D3" w:rsidRDefault="00B74276" w:rsidP="000774D3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>Já prevendo este cenário, afinal, o crescimento acelerado do número de infectados e mortos em razão da</w:t>
      </w:r>
      <w:r w:rsidR="000774D3">
        <w:rPr>
          <w:rFonts w:cs="Times New Roman"/>
        </w:rPr>
        <w:t xml:space="preserve"> </w:t>
      </w:r>
      <w:r w:rsidRPr="00B74276">
        <w:rPr>
          <w:rFonts w:cs="Times New Roman"/>
        </w:rPr>
        <w:t>COVID-19, desde o começo da pandemia, revelava a urgência pela vacina e, de outro lado, a falta de capacidade para</w:t>
      </w:r>
      <w:r w:rsidR="000774D3">
        <w:rPr>
          <w:rFonts w:cs="Times New Roman"/>
        </w:rPr>
        <w:t xml:space="preserve"> </w:t>
      </w:r>
      <w:r w:rsidRPr="00B74276">
        <w:rPr>
          <w:rFonts w:cs="Times New Roman"/>
        </w:rPr>
        <w:t>atendimento da demanda, quando o(s) imunizante(s) surgisse(m) e fosse(m) aprovado(s), é que a OMS, por meio da</w:t>
      </w:r>
      <w:r w:rsidR="000774D3">
        <w:rPr>
          <w:rFonts w:cs="Times New Roman"/>
        </w:rPr>
        <w:t xml:space="preserve"> </w:t>
      </w:r>
      <w:r w:rsidRPr="00B74276">
        <w:rPr>
          <w:rFonts w:cs="Times New Roman"/>
        </w:rPr>
        <w:t>Organização Pan-Americana da Saúde – OPAS, elaborou, em julho de 2020, orientações para o planejamento da</w:t>
      </w:r>
      <w:r w:rsidR="000774D3">
        <w:rPr>
          <w:rFonts w:cs="Times New Roman"/>
        </w:rPr>
        <w:t xml:space="preserve"> </w:t>
      </w:r>
      <w:r w:rsidRPr="00B74276">
        <w:rPr>
          <w:rFonts w:cs="Times New Roman"/>
        </w:rPr>
        <w:t>introdução da vacina contra a COVID-19</w:t>
      </w:r>
      <w:r w:rsidR="000774D3">
        <w:rPr>
          <w:rStyle w:val="Refdenotaderodap"/>
          <w:rFonts w:cs="Times New Roman"/>
        </w:rPr>
        <w:footnoteReference w:id="8"/>
      </w:r>
      <w:r w:rsidRPr="00B74276">
        <w:rPr>
          <w:rFonts w:cs="Times New Roman"/>
        </w:rPr>
        <w:t>.</w:t>
      </w:r>
    </w:p>
    <w:p w14:paraId="64731FBC" w14:textId="5A514807" w:rsidR="00B74276" w:rsidRPr="00B74276" w:rsidRDefault="00B74276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>Ao que interessa a esta demanda, destaca-se entre as referidas orientações, a previsão de priorização e</w:t>
      </w:r>
      <w:r w:rsidR="000774D3">
        <w:rPr>
          <w:rFonts w:cs="Times New Roman"/>
        </w:rPr>
        <w:t xml:space="preserve"> </w:t>
      </w:r>
      <w:r w:rsidRPr="00B74276">
        <w:rPr>
          <w:rFonts w:cs="Times New Roman"/>
        </w:rPr>
        <w:t>vacinação em fases, a ser feita, com base em objetivos específicos, como os dois primeiros abaixo transcritos:</w:t>
      </w:r>
    </w:p>
    <w:p w14:paraId="0319BDF1" w14:textId="04725E20" w:rsidR="000774D3" w:rsidRPr="001715E3" w:rsidRDefault="00B74276" w:rsidP="001715E3">
      <w:pPr>
        <w:numPr>
          <w:ilvl w:val="0"/>
          <w:numId w:val="19"/>
        </w:numPr>
        <w:shd w:val="clear" w:color="auto" w:fill="FDFDFD"/>
        <w:spacing w:line="360" w:lineRule="auto"/>
        <w:ind w:left="2268" w:firstLine="0"/>
        <w:jc w:val="both"/>
        <w:rPr>
          <w:rFonts w:cs="Times New Roman"/>
          <w:sz w:val="20"/>
          <w:szCs w:val="20"/>
        </w:rPr>
      </w:pPr>
      <w:r w:rsidRPr="001715E3">
        <w:rPr>
          <w:rFonts w:cs="Times New Roman"/>
          <w:sz w:val="20"/>
          <w:szCs w:val="20"/>
        </w:rPr>
        <w:t>Proteger a integridade do sistema de saúde e a infraestrutura para a continuidade dos serviços</w:t>
      </w:r>
      <w:r w:rsidR="000774D3"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cs="Times New Roman"/>
          <w:sz w:val="20"/>
          <w:szCs w:val="20"/>
        </w:rPr>
        <w:t>essenciais: vacinar os profissionais de saúde, em todos os níveis de atenção, e de outros serviços</w:t>
      </w:r>
      <w:r w:rsidR="000774D3"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cs="Times New Roman"/>
          <w:sz w:val="20"/>
          <w:szCs w:val="20"/>
        </w:rPr>
        <w:t>essenciais estabelecidos pelo país.</w:t>
      </w:r>
    </w:p>
    <w:p w14:paraId="1573DB72" w14:textId="4EB79E71" w:rsidR="00B74276" w:rsidRPr="001715E3" w:rsidRDefault="00B74276" w:rsidP="001715E3">
      <w:pPr>
        <w:numPr>
          <w:ilvl w:val="0"/>
          <w:numId w:val="19"/>
        </w:numPr>
        <w:shd w:val="clear" w:color="auto" w:fill="FDFDFD"/>
        <w:spacing w:line="360" w:lineRule="auto"/>
        <w:ind w:left="2268" w:firstLine="0"/>
        <w:jc w:val="both"/>
        <w:rPr>
          <w:rFonts w:cs="Times New Roman"/>
          <w:sz w:val="20"/>
          <w:szCs w:val="20"/>
        </w:rPr>
      </w:pPr>
      <w:r w:rsidRPr="001715E3">
        <w:rPr>
          <w:rFonts w:cs="Times New Roman"/>
          <w:sz w:val="20"/>
          <w:szCs w:val="20"/>
        </w:rPr>
        <w:t>Reduzir a morbidade grave e a mortalidade associada à COVID-19, protegendo as populações de</w:t>
      </w:r>
      <w:r w:rsidR="000774D3"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cs="Times New Roman"/>
          <w:sz w:val="20"/>
          <w:szCs w:val="20"/>
        </w:rPr>
        <w:t>maior risco: vacinar os grupos de maior risco, identificados de acordo com a situação</w:t>
      </w:r>
      <w:r w:rsidR="000774D3"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cs="Times New Roman"/>
          <w:sz w:val="20"/>
          <w:szCs w:val="20"/>
        </w:rPr>
        <w:t>epidemiológica [...]”</w:t>
      </w:r>
    </w:p>
    <w:p w14:paraId="30D48763" w14:textId="77777777" w:rsidR="001715E3" w:rsidRDefault="001715E3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56798B55" w14:textId="50941015" w:rsidR="00B74276" w:rsidRDefault="00B80FCD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>
        <w:rPr>
          <w:noProof/>
        </w:rPr>
        <w:pict w14:anchorId="0C96E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9pt;margin-top:106pt;width:512.65pt;height:320.1pt;z-index:-2;mso-position-horizontal-relative:text;mso-position-vertical-relative:text;mso-width-relative:page;mso-height-relative:page" wrapcoords="-36 0 -36 21543 21600 21543 21600 0 -36 0">
            <v:imagedata r:id="rId11" o:title=""/>
            <w10:wrap type="square"/>
          </v:shape>
        </w:pict>
      </w:r>
      <w:r w:rsidR="00B74276" w:rsidRPr="00B74276">
        <w:rPr>
          <w:rFonts w:cs="Times New Roman"/>
        </w:rPr>
        <w:t>Seguindo tais objetivos, o Ministério da Saúde elaborou o Plano Nacional de Imunização, seguido,</w:t>
      </w:r>
      <w:r w:rsidR="00850CB6">
        <w:rPr>
          <w:rFonts w:cs="Times New Roman"/>
        </w:rPr>
        <w:t xml:space="preserve"> </w:t>
      </w:r>
      <w:r w:rsidR="00B74276" w:rsidRPr="00B74276">
        <w:rPr>
          <w:rFonts w:cs="Times New Roman"/>
        </w:rPr>
        <w:t>posteriormente, pelo informe técnico “Campanha Nacional de Vacinação contra a Covid-19”, e estabeleceu, também</w:t>
      </w:r>
      <w:r w:rsidR="00850CB6">
        <w:rPr>
          <w:rFonts w:cs="Times New Roman"/>
        </w:rPr>
        <w:t xml:space="preserve"> </w:t>
      </w:r>
      <w:r w:rsidR="00B74276" w:rsidRPr="00B74276">
        <w:rPr>
          <w:rFonts w:cs="Times New Roman"/>
        </w:rPr>
        <w:t>ao que interessa ao objeto desta demanda, que na situação de haver 6 (seis) milhões de doses, os grupos vacinados</w:t>
      </w:r>
      <w:r w:rsidR="005740F6">
        <w:rPr>
          <w:rFonts w:cs="Times New Roman"/>
        </w:rPr>
        <w:t xml:space="preserve"> </w:t>
      </w:r>
      <w:r w:rsidR="00B74276" w:rsidRPr="00B74276">
        <w:rPr>
          <w:rFonts w:cs="Times New Roman"/>
        </w:rPr>
        <w:t>seriam os seguintes:</w:t>
      </w:r>
    </w:p>
    <w:p w14:paraId="0A6F99F2" w14:textId="6BEE53D0" w:rsidR="00B74276" w:rsidRDefault="00B74276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14F4EF17" w14:textId="2F9D385D" w:rsidR="00B74276" w:rsidRDefault="00B74276" w:rsidP="005740F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 xml:space="preserve">Na mesma linha, o Plano de Vacinação elaborado pela Secretaria de Saúde do Estado </w:t>
      </w:r>
      <w:r w:rsidR="005740F6">
        <w:rPr>
          <w:rFonts w:cs="Times New Roman"/>
        </w:rPr>
        <w:t>do Ceará</w:t>
      </w:r>
      <w:r w:rsidRPr="00B74276">
        <w:rPr>
          <w:rFonts w:cs="Times New Roman"/>
        </w:rPr>
        <w:t xml:space="preserve"> – SESA</w:t>
      </w:r>
      <w:r w:rsidR="00462D47">
        <w:rPr>
          <w:rStyle w:val="Refdenotaderodap"/>
          <w:rFonts w:cs="Times New Roman"/>
        </w:rPr>
        <w:footnoteReference w:id="9"/>
      </w:r>
      <w:r w:rsidR="005740F6">
        <w:rPr>
          <w:rFonts w:cs="Times New Roman"/>
        </w:rPr>
        <w:t xml:space="preserve"> </w:t>
      </w:r>
      <w:r w:rsidRPr="00B74276">
        <w:rPr>
          <w:rFonts w:cs="Times New Roman"/>
        </w:rPr>
        <w:t>estabeleceu os seguintes critérios para formação do grupo prioritário para recebimento da vacina na primeira etapa de</w:t>
      </w:r>
      <w:r w:rsidR="005740F6">
        <w:rPr>
          <w:rFonts w:cs="Times New Roman"/>
        </w:rPr>
        <w:t xml:space="preserve"> </w:t>
      </w:r>
      <w:r w:rsidRPr="00B74276">
        <w:rPr>
          <w:rFonts w:cs="Times New Roman"/>
        </w:rPr>
        <w:t>imunização:</w:t>
      </w:r>
    </w:p>
    <w:p w14:paraId="790BBD30" w14:textId="77777777" w:rsidR="001715E3" w:rsidRDefault="00166032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>
        <w:rPr>
          <w:noProof/>
        </w:rPr>
        <w:lastRenderedPageBreak/>
        <w:pict w14:anchorId="4911ACB5">
          <v:shape id="_x0000_s1028" type="#_x0000_t75" style="position:absolute;left:0;text-align:left;margin-left:-34.8pt;margin-top:8.9pt;width:499.5pt;height:285.6pt;z-index:-1;mso-position-horizontal-relative:text;mso-position-vertical-relative:text;mso-width-relative:page;mso-height-relative:page" wrapcoords="-36 0 -36 21475 21600 21475 21600 0 -36 0">
            <v:imagedata r:id="rId12" o:title=""/>
            <w10:wrap type="tight"/>
          </v:shape>
        </w:pict>
      </w:r>
    </w:p>
    <w:p w14:paraId="50EA4B6C" w14:textId="08B76982" w:rsidR="00B74276" w:rsidRDefault="00B74276" w:rsidP="00B74276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74276">
        <w:rPr>
          <w:rFonts w:cs="Times New Roman"/>
        </w:rPr>
        <w:t>Resta claro, portanto, que, diante das especificidades da COVID-19, com base em estudos científicos, bem como da situação de absoluta discrepância entre a demanda</w:t>
      </w:r>
      <w:r w:rsidR="00462D47">
        <w:rPr>
          <w:rFonts w:cs="Times New Roman"/>
        </w:rPr>
        <w:t xml:space="preserve"> </w:t>
      </w:r>
      <w:r w:rsidRPr="00B74276">
        <w:rPr>
          <w:rFonts w:cs="Times New Roman"/>
        </w:rPr>
        <w:t>por vacina e sua oferta, tornou-se impositiva a divisão da população em grupos, os quais devem ser rigorosamente</w:t>
      </w:r>
      <w:r w:rsidR="00462D47">
        <w:rPr>
          <w:rFonts w:cs="Times New Roman"/>
        </w:rPr>
        <w:t xml:space="preserve"> </w:t>
      </w:r>
      <w:r w:rsidRPr="00B74276">
        <w:rPr>
          <w:rFonts w:cs="Times New Roman"/>
        </w:rPr>
        <w:t xml:space="preserve">observados, sob pena </w:t>
      </w:r>
      <w:r w:rsidR="00462D47">
        <w:rPr>
          <w:rFonts w:cs="Times New Roman"/>
        </w:rPr>
        <w:t xml:space="preserve">de </w:t>
      </w:r>
      <w:r w:rsidRPr="00B74276">
        <w:rPr>
          <w:rFonts w:cs="Times New Roman"/>
        </w:rPr>
        <w:t>impedir o alcance dos objetivos nacionais (e mesmo globais) pretendidos na estratégia de</w:t>
      </w:r>
      <w:r w:rsidR="00462D47">
        <w:rPr>
          <w:rFonts w:cs="Times New Roman"/>
        </w:rPr>
        <w:t xml:space="preserve"> </w:t>
      </w:r>
      <w:r w:rsidRPr="00B74276">
        <w:rPr>
          <w:rFonts w:cs="Times New Roman"/>
        </w:rPr>
        <w:t>combate à pandemia de COVID-19.</w:t>
      </w:r>
    </w:p>
    <w:p w14:paraId="7F5759B1" w14:textId="7C955D8A" w:rsidR="00B80FCD" w:rsidRDefault="00B80FCD" w:rsidP="00B80FCD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80FCD">
        <w:rPr>
          <w:rFonts w:cs="Times New Roman"/>
        </w:rPr>
        <w:t>Já se tem notícias</w:t>
      </w:r>
      <w:r>
        <w:rPr>
          <w:rStyle w:val="Refdenotaderodap"/>
          <w:rFonts w:cs="Times New Roman"/>
        </w:rPr>
        <w:footnoteReference w:id="10"/>
      </w:r>
      <w:r w:rsidRPr="00B80FCD">
        <w:rPr>
          <w:rFonts w:cs="Times New Roman"/>
        </w:rPr>
        <w:t>, em vários Municípios do país, inclusive no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 xml:space="preserve">Estado de </w:t>
      </w:r>
      <w:r>
        <w:rPr>
          <w:rFonts w:cs="Times New Roman"/>
        </w:rPr>
        <w:t>Ceará</w:t>
      </w:r>
      <w:r w:rsidRPr="00B80FCD">
        <w:rPr>
          <w:rFonts w:cs="Times New Roman"/>
        </w:rPr>
        <w:t>, de pessoas, agentes públicos ou não, que foram vacinadas sem que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estivessem incluídos nos grupos prioritários, com as primeiras doses disponibilizadas aos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entes federativos, as quais, repita-se, pela escassez, são totalmente insuficientes para a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imunização dos próprios grupos prioritários.</w:t>
      </w:r>
    </w:p>
    <w:p w14:paraId="09327252" w14:textId="4E6247BC" w:rsidR="00B80FCD" w:rsidRDefault="00B80FCD" w:rsidP="00B80FCD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B80FCD">
        <w:rPr>
          <w:rFonts w:cs="Times New Roman"/>
        </w:rPr>
        <w:t>O enfrentamento dessa situação, apta a comprometer o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alcance dos objetivos nacionais (e mesmo globais) pretendidos na estratégia de combate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 xml:space="preserve">à pandemia de COVID-19, </w:t>
      </w:r>
      <w:r w:rsidRPr="00B80FCD">
        <w:rPr>
          <w:rFonts w:cs="Times New Roman"/>
        </w:rPr>
        <w:lastRenderedPageBreak/>
        <w:t>somente alcançará a efetividade necessária e desejada por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meio de um efetivo controle, realizado pela sociedade e pelos órgãos de controle, do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Plano Nacional de Operacionalização da Vacinação contra a Covid-19. E, para tanto,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indispensável a disponibilização, pelo poder público, em tempo real, de todas as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informações necessárias relativas a operacionalização e execução do plano à sociedade</w:t>
      </w:r>
      <w:r>
        <w:rPr>
          <w:rFonts w:cs="Times New Roman"/>
        </w:rPr>
        <w:t xml:space="preserve"> </w:t>
      </w:r>
      <w:r w:rsidRPr="00B80FCD">
        <w:rPr>
          <w:rFonts w:cs="Times New Roman"/>
        </w:rPr>
        <w:t>e aos órgãos de controle.</w:t>
      </w:r>
    </w:p>
    <w:p w14:paraId="3160DE56" w14:textId="527340AC" w:rsidR="00072061" w:rsidRPr="00072061" w:rsidRDefault="00072061" w:rsidP="00072061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072061">
        <w:rPr>
          <w:rFonts w:cs="Times New Roman"/>
        </w:rPr>
        <w:t>A fim de garantir a execução do Plano Nacional de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Operacionalização da Vacinação contra a Covid-19, em alinho ao que estabelece o artigo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37 da C</w:t>
      </w:r>
      <w:r>
        <w:rPr>
          <w:rFonts w:cs="Times New Roman"/>
        </w:rPr>
        <w:t xml:space="preserve">onstituição </w:t>
      </w:r>
      <w:r w:rsidRPr="00072061">
        <w:rPr>
          <w:rFonts w:cs="Times New Roman"/>
        </w:rPr>
        <w:t>F</w:t>
      </w:r>
      <w:r>
        <w:rPr>
          <w:rFonts w:cs="Times New Roman"/>
        </w:rPr>
        <w:t>ederal</w:t>
      </w:r>
      <w:r w:rsidRPr="00072061">
        <w:rPr>
          <w:rFonts w:cs="Times New Roman"/>
        </w:rPr>
        <w:t xml:space="preserve"> e a Lei 12.527/2011 – Lei de Acesso </w:t>
      </w:r>
      <w:r>
        <w:rPr>
          <w:rFonts w:cs="Times New Roman"/>
        </w:rPr>
        <w:t>à</w:t>
      </w:r>
      <w:r w:rsidRPr="00072061">
        <w:rPr>
          <w:rFonts w:cs="Times New Roman"/>
        </w:rPr>
        <w:t xml:space="preserve"> Informação – a M</w:t>
      </w:r>
      <w:r>
        <w:rPr>
          <w:rFonts w:cs="Times New Roman"/>
        </w:rPr>
        <w:t xml:space="preserve">edida </w:t>
      </w:r>
      <w:r w:rsidRPr="00072061">
        <w:rPr>
          <w:rFonts w:cs="Times New Roman"/>
        </w:rPr>
        <w:t>P</w:t>
      </w:r>
      <w:r>
        <w:rPr>
          <w:rFonts w:cs="Times New Roman"/>
        </w:rPr>
        <w:t>rovisória</w:t>
      </w:r>
      <w:r w:rsidRPr="00072061">
        <w:rPr>
          <w:rFonts w:cs="Times New Roman"/>
        </w:rPr>
        <w:t xml:space="preserve"> 1026/2021</w:t>
      </w:r>
      <w:r>
        <w:rPr>
          <w:rStyle w:val="Refdenotaderodap"/>
          <w:rFonts w:cs="Times New Roman"/>
        </w:rPr>
        <w:footnoteReference w:id="11"/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estabeleceu, em seu artigo 14, o seguinte:</w:t>
      </w:r>
    </w:p>
    <w:p w14:paraId="777A5CFF" w14:textId="4F573C3E" w:rsidR="00072061" w:rsidRPr="0082228B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b/>
          <w:bCs/>
          <w:sz w:val="20"/>
          <w:szCs w:val="20"/>
          <w:u w:val="single"/>
        </w:rPr>
      </w:pPr>
      <w:r w:rsidRPr="00072061">
        <w:rPr>
          <w:rFonts w:cs="Times New Roman"/>
          <w:sz w:val="20"/>
          <w:szCs w:val="20"/>
        </w:rPr>
        <w:t xml:space="preserve">Art. 14. </w:t>
      </w:r>
      <w:r w:rsidRPr="0082228B">
        <w:rPr>
          <w:rFonts w:cs="Times New Roman"/>
          <w:b/>
          <w:bCs/>
          <w:sz w:val="20"/>
          <w:szCs w:val="20"/>
        </w:rPr>
        <w:t xml:space="preserve">A administração pública disponibilizará em sítio eletrônico oficial na internet informações atualizadas a respeito do Plano Nacional de Operacionalização da Vacinação contra a Covid-19 e de sua execução, que conterá, </w:t>
      </w:r>
      <w:r w:rsidRPr="0082228B">
        <w:rPr>
          <w:rFonts w:cs="Times New Roman"/>
          <w:b/>
          <w:bCs/>
          <w:sz w:val="20"/>
          <w:szCs w:val="20"/>
          <w:u w:val="single"/>
        </w:rPr>
        <w:t>no mínimo:</w:t>
      </w:r>
    </w:p>
    <w:p w14:paraId="2C4EAA09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I - a relação do quantitativo de vacinas adquiridas, com indicação:</w:t>
      </w:r>
    </w:p>
    <w:p w14:paraId="60DDD76F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a) do laboratório de origem;</w:t>
      </w:r>
    </w:p>
    <w:p w14:paraId="399EB80F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b) dos custos despendidos;</w:t>
      </w:r>
    </w:p>
    <w:p w14:paraId="1907DF29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c) dos grupos elegíveis; e</w:t>
      </w:r>
    </w:p>
    <w:p w14:paraId="5E08D4DA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d) da região onde ocorreu ou ocorrerá a imunização; e</w:t>
      </w:r>
    </w:p>
    <w:p w14:paraId="13DA8870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II - os insumos, bens e serviços de logística, tecnologia da informação e</w:t>
      </w:r>
    </w:p>
    <w:p w14:paraId="41B0F0FA" w14:textId="77777777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comunicação, comunicação social e publicitária e treinamentos destinados à</w:t>
      </w:r>
    </w:p>
    <w:p w14:paraId="2B66E84A" w14:textId="3444C7CC" w:rsid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vacinação contra a covid-19.</w:t>
      </w:r>
    </w:p>
    <w:p w14:paraId="4DB1A664" w14:textId="6A8008E1" w:rsidR="00072061" w:rsidRPr="00072061" w:rsidRDefault="00072061" w:rsidP="00072061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072061">
        <w:rPr>
          <w:rFonts w:cs="Times New Roman"/>
          <w:sz w:val="20"/>
          <w:szCs w:val="20"/>
        </w:rPr>
        <w:t>Parágrafo único. Para fins do disposto no caput, serão observados, no que</w:t>
      </w:r>
      <w:r>
        <w:rPr>
          <w:rFonts w:cs="Times New Roman"/>
          <w:sz w:val="20"/>
          <w:szCs w:val="20"/>
        </w:rPr>
        <w:t xml:space="preserve"> </w:t>
      </w:r>
      <w:r w:rsidRPr="00072061">
        <w:rPr>
          <w:rFonts w:cs="Times New Roman"/>
          <w:sz w:val="20"/>
          <w:szCs w:val="20"/>
        </w:rPr>
        <w:t>couber, o disposto na Lei nº 12.527, de 2011, e na Lei nº 13.709, de</w:t>
      </w:r>
      <w:r>
        <w:rPr>
          <w:rFonts w:cs="Times New Roman"/>
          <w:sz w:val="20"/>
          <w:szCs w:val="20"/>
        </w:rPr>
        <w:t xml:space="preserve"> </w:t>
      </w:r>
      <w:r w:rsidRPr="00072061">
        <w:rPr>
          <w:rFonts w:cs="Times New Roman"/>
          <w:sz w:val="20"/>
          <w:szCs w:val="20"/>
        </w:rPr>
        <w:t>14 de agosto de 2018.</w:t>
      </w:r>
      <w:r w:rsidR="0082228B">
        <w:rPr>
          <w:rFonts w:cs="Times New Roman"/>
          <w:sz w:val="20"/>
          <w:szCs w:val="20"/>
        </w:rPr>
        <w:t xml:space="preserve"> (grifo nosso)</w:t>
      </w:r>
    </w:p>
    <w:p w14:paraId="70D1C376" w14:textId="3FAAF110" w:rsidR="00B74276" w:rsidRDefault="00B74276" w:rsidP="00EE2A6B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5308FEBD" w14:textId="6AE16A9C" w:rsidR="00072061" w:rsidRPr="00072061" w:rsidRDefault="00072061" w:rsidP="00072061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072061">
        <w:rPr>
          <w:rFonts w:cs="Times New Roman"/>
        </w:rPr>
        <w:t>Com base nas disposições constitucionais e legais acima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referenciadas, e atento ao fato de que as exigências da MP 1026 constituem apenas um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mínimo de informações indispensáveis à transparência ativa, o MINISTÉRIO PÚBLICO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 xml:space="preserve">DO ESTADO </w:t>
      </w:r>
      <w:r>
        <w:rPr>
          <w:rFonts w:cs="Times New Roman"/>
        </w:rPr>
        <w:t>DO CEARÁ</w:t>
      </w:r>
      <w:r w:rsidRPr="00072061">
        <w:rPr>
          <w:rFonts w:cs="Times New Roman"/>
        </w:rPr>
        <w:t xml:space="preserve"> expediu recomendação ao MUNIC</w:t>
      </w:r>
      <w:r>
        <w:rPr>
          <w:rFonts w:cs="Times New Roman"/>
        </w:rPr>
        <w:t>ÍPIO DE ___________</w:t>
      </w:r>
      <w:r w:rsidRPr="0007206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a fim de que este adotasse as providências necessárias para disponibilizar, em sítio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eletrônico e em tempo real, as informações exigidas pelo artigo 14 da MP 1026/2021, bem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como outras informações indispensáveis ao efetivo controle social da adequada e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escorreita execução do Plano Nacional de Imunização contra a Covid-19, em especial 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observância da vacinação por grupos, de acordo com as prioridades eleitas pelo plano, 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partir de critérios objetivos e alinhados com a estratégia mundial de combate à Covid-19,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 xml:space="preserve">tais como a relação dos </w:t>
      </w:r>
      <w:r w:rsidRPr="00072061">
        <w:rPr>
          <w:rFonts w:cs="Times New Roman"/>
        </w:rPr>
        <w:lastRenderedPageBreak/>
        <w:t>vacinados, com identificação por nome, além da indicação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do grupo prioritário a que pertence, número de lote da vacina, data da vacinação e agente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público responsável pela aplicação.</w:t>
      </w:r>
    </w:p>
    <w:p w14:paraId="41E4659D" w14:textId="59003E7F" w:rsidR="00072061" w:rsidRDefault="00072061" w:rsidP="00072061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072061">
        <w:rPr>
          <w:rFonts w:cs="Times New Roman"/>
        </w:rPr>
        <w:t>Essas informações complementares, relativas ao nome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da pessoa vacinada e do grupo prioritário a que pertence, número de lote da vacina, data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da vacinação e agente público responsável pela aplicação revelam-se indispensáveis à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efetiva verificação da correta execução do Plano Nacional de Operacionalização da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Vacinação contra a Covid-19, uma vez que somente pela identificação dos vacinados, em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cotejo com a sua classificação prioritária, dos agentes públicos responsáveis pela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aplicação, com data da vacinação e lote da vacina, será possível verificar se houve ou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não inversão na ordem dos vacinados, conforme planejado e identificar os responsáveis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pela inversão.</w:t>
      </w:r>
    </w:p>
    <w:p w14:paraId="1BEED3EC" w14:textId="5C6BFEC9" w:rsidR="00072061" w:rsidRDefault="00072061" w:rsidP="00072061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B1421">
        <w:rPr>
          <w:rFonts w:cs="Times New Roman"/>
          <w:highlight w:val="yellow"/>
        </w:rPr>
        <w:t>Exaurido o prazo para o cumprimento da recomendação, este órgão ministerial realizou diligências investigatórias no portal da transparência do MUNICÍPIO DE _______________, e verificou que o referido ente federado não acatou a recomendação</w:t>
      </w:r>
      <w:r w:rsidRPr="00072061">
        <w:rPr>
          <w:rFonts w:cs="Times New Roman"/>
        </w:rPr>
        <w:t xml:space="preserve"> e, em consequência, descumpre o seu dever constitucional de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transparência ativa, o que, no contexto de pandemia hoje vivenciado, representa grave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violação, não somente ao direito fundamental à informação, mas ao direito à vida e à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saúde de milhares de cidadãos brasileiros, que serão preteridos no direito de serem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vacinados com prioridade ou de terem o atendimento adequado em razão do colapso no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sistema de saúde, em razão da conduta ilegal de servidores públicos e particulares aliada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à falta de adequado controle social e dos órgãos de controle, indispensáveis, no contexto</w:t>
      </w:r>
      <w:r>
        <w:rPr>
          <w:rFonts w:cs="Times New Roman"/>
        </w:rPr>
        <w:t xml:space="preserve"> </w:t>
      </w:r>
      <w:r w:rsidRPr="00072061">
        <w:rPr>
          <w:rFonts w:cs="Times New Roman"/>
        </w:rPr>
        <w:t>atual, à efetividade do direito à vida e à saúde de milhões de cidadãos brasileiros.</w:t>
      </w:r>
    </w:p>
    <w:p w14:paraId="62337714" w14:textId="0417C357" w:rsidR="00072061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t>Nessa perspectiva, e diante da recusa do MUNICÍPIO DE</w:t>
      </w:r>
      <w:r>
        <w:rPr>
          <w:rFonts w:cs="Times New Roman"/>
        </w:rPr>
        <w:t xml:space="preserve"> _________</w:t>
      </w:r>
      <w:r w:rsidRPr="00F36B19">
        <w:rPr>
          <w:rFonts w:cs="Times New Roman"/>
        </w:rPr>
        <w:t xml:space="preserve"> em, voluntariamente, cumprir seu dever constitucional e legal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de, por meio da transparência ativa, possibilitar o efetivo controle social e dos órgãos de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controle sobre a execução do Plano Nacional de Operacionalização da Vacinação contra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a Covid-19, indispensável à garantia de direitos fundamentais, alternativa não há senão a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interferência do Poder Judiciário.</w:t>
      </w:r>
    </w:p>
    <w:p w14:paraId="3156C76A" w14:textId="1EAD94D5" w:rsidR="00072061" w:rsidRDefault="00072061" w:rsidP="00F36B19">
      <w:pPr>
        <w:shd w:val="clear" w:color="auto" w:fill="FDFDFD"/>
        <w:spacing w:line="360" w:lineRule="auto"/>
        <w:jc w:val="both"/>
        <w:rPr>
          <w:rFonts w:cs="Times New Roman"/>
        </w:rPr>
      </w:pPr>
    </w:p>
    <w:p w14:paraId="04337A03" w14:textId="1418A6DE" w:rsidR="00F36B19" w:rsidRDefault="00F36B19" w:rsidP="00F36B19">
      <w:pPr>
        <w:numPr>
          <w:ilvl w:val="0"/>
          <w:numId w:val="21"/>
        </w:numPr>
        <w:shd w:val="clear" w:color="auto" w:fill="FDFDFD"/>
        <w:spacing w:line="360" w:lineRule="auto"/>
        <w:jc w:val="both"/>
        <w:rPr>
          <w:rFonts w:cs="Times New Roman"/>
          <w:b/>
          <w:bCs/>
        </w:rPr>
      </w:pPr>
      <w:r w:rsidRPr="00F36B19">
        <w:rPr>
          <w:rFonts w:cs="Times New Roman"/>
          <w:b/>
          <w:bCs/>
        </w:rPr>
        <w:t>DOS FUNDAMENTOS JURÍDICOS</w:t>
      </w:r>
    </w:p>
    <w:p w14:paraId="10C64AB3" w14:textId="222C6369" w:rsidR="00F36B19" w:rsidRDefault="00F36B19" w:rsidP="00F36B19">
      <w:pPr>
        <w:shd w:val="clear" w:color="auto" w:fill="FDFDFD"/>
        <w:spacing w:line="360" w:lineRule="auto"/>
        <w:jc w:val="both"/>
        <w:rPr>
          <w:rFonts w:cs="Times New Roman"/>
          <w:b/>
          <w:bCs/>
        </w:rPr>
      </w:pPr>
    </w:p>
    <w:p w14:paraId="380632CF" w14:textId="5F82819E" w:rsidR="00F36B19" w:rsidRPr="00F36B19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lastRenderedPageBreak/>
        <w:t>A publicidade é tanto um direito do cidadão quanto um dever do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 xml:space="preserve">Estado. No Brasil, o princípio da publicidade administrativa possui </w:t>
      </w:r>
      <w:r w:rsidRPr="00FB1421">
        <w:rPr>
          <w:rFonts w:cs="Times New Roman"/>
          <w:i/>
          <w:iCs/>
        </w:rPr>
        <w:t xml:space="preserve">status </w:t>
      </w:r>
      <w:r w:rsidRPr="00F36B19">
        <w:rPr>
          <w:rFonts w:cs="Times New Roman"/>
        </w:rPr>
        <w:t>constitucional e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encontra previsão no caput do art. 37 da Constituição Federal. É aplicável aos Poderes de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todos os entes federativos e abrange tanto a administração direta quanto a indireta. É</w:t>
      </w:r>
      <w:r>
        <w:rPr>
          <w:rFonts w:cs="Times New Roman"/>
        </w:rPr>
        <w:t xml:space="preserve"> </w:t>
      </w:r>
      <w:r w:rsidRPr="00F36B19">
        <w:rPr>
          <w:rFonts w:cs="Times New Roman"/>
        </w:rPr>
        <w:t>essa a inteligência do texto constitucional, vazado nos seguintes termos:</w:t>
      </w:r>
    </w:p>
    <w:p w14:paraId="70F6323B" w14:textId="2CD766A1" w:rsidR="00F36B19" w:rsidRDefault="00F36B19" w:rsidP="00280FA8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280FA8">
        <w:rPr>
          <w:rFonts w:cs="Times New Roman"/>
          <w:sz w:val="20"/>
          <w:szCs w:val="20"/>
        </w:rPr>
        <w:t>Art. 37. A administração pública direta e indireta de qualquer dos Poderes da União, dos Estados, do Distrito Federal e dos Municípios obedecerá aos princípios de legalidade, impessoalidade, moralidade, publicidade e eficiência</w:t>
      </w:r>
      <w:r w:rsidR="00280FA8" w:rsidRPr="00280FA8">
        <w:rPr>
          <w:rFonts w:cs="Times New Roman"/>
          <w:sz w:val="20"/>
          <w:szCs w:val="20"/>
        </w:rPr>
        <w:t>.</w:t>
      </w:r>
    </w:p>
    <w:p w14:paraId="5E88EC74" w14:textId="77777777" w:rsidR="00280FA8" w:rsidRPr="00280FA8" w:rsidRDefault="00280FA8" w:rsidP="00280FA8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6FC8B7E5" w14:textId="56EC3B80" w:rsidR="00F36B19" w:rsidRPr="00F36B19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t>A importância desse princípio é destacada por Sarlet, Marinoni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e Mitidiero no excerto abaixo transcrito:</w:t>
      </w:r>
    </w:p>
    <w:p w14:paraId="323AE44C" w14:textId="7B39EE0B" w:rsidR="00F36B19" w:rsidRPr="00280FA8" w:rsidRDefault="00F36B19" w:rsidP="00280FA8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280FA8">
        <w:rPr>
          <w:rFonts w:cs="Times New Roman"/>
          <w:sz w:val="20"/>
          <w:szCs w:val="20"/>
        </w:rPr>
        <w:t>A publicidade é essencial ao princípio democrático e ao princípio do Estado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de Direito (auf dem Demokratie- und dem Rechtsstaatsprinzip). Tem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assento, portanto, nos dois corações políticos que movem o Estado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Constitucional. Por essa razão, ainda que não fosse prevista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constitucionalmente de forma expressa, sua imprescindibilidade seria facilmente compreendida como consequência necessária do caráter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democrático da administração da justiça no Estado Constitucional.</w:t>
      </w:r>
    </w:p>
    <w:p w14:paraId="164BF8AA" w14:textId="44B45B3B" w:rsidR="00F36B19" w:rsidRDefault="00F36B19" w:rsidP="00280FA8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280FA8">
        <w:rPr>
          <w:rFonts w:cs="Times New Roman"/>
          <w:sz w:val="20"/>
          <w:szCs w:val="20"/>
        </w:rPr>
        <w:t>(SARLET, Ingo Wolfgang; MARINONI, Luiz Guilherme; MITIDIERO,</w:t>
      </w:r>
      <w:r w:rsid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Daniel. Curso de Direito Constitucional. 6 ed. São Paulo: Saraiva, 2016,</w:t>
      </w:r>
      <w:r w:rsid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p. 663)</w:t>
      </w:r>
    </w:p>
    <w:p w14:paraId="561CD194" w14:textId="77777777" w:rsidR="00280FA8" w:rsidRPr="00280FA8" w:rsidRDefault="00280FA8" w:rsidP="00280FA8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4326378C" w14:textId="001EBE95" w:rsidR="00F36B19" w:rsidRPr="00F36B19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t>O reflexo prático disso, como bem apontam Mendes, Coelho e Branco, é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que da publicidade decorre:</w:t>
      </w:r>
    </w:p>
    <w:p w14:paraId="68B58AB1" w14:textId="688A3327" w:rsidR="00F36B19" w:rsidRPr="00280FA8" w:rsidRDefault="00F36B19" w:rsidP="00280FA8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280FA8">
        <w:rPr>
          <w:rFonts w:cs="Times New Roman"/>
          <w:sz w:val="20"/>
          <w:szCs w:val="20"/>
        </w:rPr>
        <w:t>[...] a necessidade de que todos os atos administrativos estejam expostos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ao público, que se pratiquem à luz do dia, até porque os agentes estatais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não atuam para a satisfação de interesses pessoais, nem sequer da própria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Administração, que, sabidamente, é apenas um conjunto de pessoas,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órgãos, entidades e funções, uma estrutura, enfim, a serviço do interesse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público, que, este sim, está acima de quaisquer pessoas. Prepostos da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sociedade, que os mantém e legitima no exercício das suas funções, devem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os agentes públicos estar permanentemente abertos à inspeção social, o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que só se materializa com a publicação/publicidade dos seus atos.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(MENDES, Gilmar Ferreira, COELHO, Inocêncio Mártires, BRANCO, Paulo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Gustavo Gonet. Curso de Direito Constitucional. 4 ed. São Paulo:</w:t>
      </w:r>
      <w:r w:rsidR="00280FA8" w:rsidRPr="00280FA8">
        <w:rPr>
          <w:rFonts w:cs="Times New Roman"/>
          <w:sz w:val="20"/>
          <w:szCs w:val="20"/>
        </w:rPr>
        <w:t xml:space="preserve"> </w:t>
      </w:r>
      <w:r w:rsidRPr="00280FA8">
        <w:rPr>
          <w:rFonts w:cs="Times New Roman"/>
          <w:sz w:val="20"/>
          <w:szCs w:val="20"/>
        </w:rPr>
        <w:t>Saraiva, 2009, p. 884)</w:t>
      </w:r>
    </w:p>
    <w:p w14:paraId="0FF3DE3A" w14:textId="77777777" w:rsidR="00280FA8" w:rsidRDefault="00280FA8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04BE6810" w14:textId="4F8C7A97" w:rsidR="00F36B19" w:rsidRPr="00F36B19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t>Apesar de não expressamente contida no caput do artigo 37 da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CF, a transparência pode ser compreendida como o substrato material do princípio da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publicidade, a impor que a informação não somete seja disponível, mas compreensível,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apta e suficiente a possibilitar um adequado e efetivo controle dos atos da Administração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Pública.</w:t>
      </w:r>
    </w:p>
    <w:p w14:paraId="5559277D" w14:textId="0E92FB30" w:rsidR="00F36B19" w:rsidRPr="00F36B19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t>Indiscutivelmente, o princípio da publicidade e da transparência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guardam estreita relação com o fortalecimento da democracia, pois operam em uma via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de mão dupla: assim como o acesso às informações públicas completas e idôneas, que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 xml:space="preserve">decorre do princípio </w:t>
      </w:r>
      <w:r w:rsidRPr="00F36B19">
        <w:rPr>
          <w:rFonts w:cs="Times New Roman"/>
        </w:rPr>
        <w:lastRenderedPageBreak/>
        <w:t>da publicidade e da transparência, fortalece o controle e participação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social e, em consequência a democracia, do mesmo modo, o fortalecimento da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democracia estimula maior acesso às informações públicas, o controle e a participação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social (MARTINS, Ives Gandra da Silva (org). Comentários à lei de responsabilidade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fiscal. 6. ed. São Paulo: Saraiva, 2012).</w:t>
      </w:r>
    </w:p>
    <w:p w14:paraId="1BEE7755" w14:textId="6C96F3A2" w:rsidR="00F36B19" w:rsidRDefault="00F36B19" w:rsidP="00F36B19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F36B19">
        <w:rPr>
          <w:rFonts w:cs="Times New Roman"/>
        </w:rPr>
        <w:t>O conteúdo ético-jurídico da publicidade e da transparência e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sua conexão direta com a essência do regime republicano foram também destacados pelo</w:t>
      </w:r>
      <w:r w:rsidR="00280FA8">
        <w:rPr>
          <w:rFonts w:cs="Times New Roman"/>
        </w:rPr>
        <w:t xml:space="preserve"> </w:t>
      </w:r>
      <w:r w:rsidRPr="00F36B19">
        <w:rPr>
          <w:rFonts w:cs="Times New Roman"/>
        </w:rPr>
        <w:t>Pretório Excelso, em decisão da lavra do Ministro Celso de Mello:</w:t>
      </w:r>
    </w:p>
    <w:p w14:paraId="731CB008" w14:textId="351CE185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No Estado Democrático de Direito, não se pode privilegiar o mistério, porque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a supressão do regime visível de governo compromete a própria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legitimidade material do exercício do poder.</w:t>
      </w:r>
    </w:p>
    <w:p w14:paraId="26EA2DFB" w14:textId="3EB2F0D6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A Constituição republicana de 1988 dessacralizou o segredo e expôs todos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os agentes públicos a processos de fiscalização social, qualquer que seja 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âmbito institucional (Legislativo, Executivo ou Judiciário) em que eles atuem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ou tenham atuado. Ninguém está acima da Constituição e das leis da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República. Todos, sem exceção, são responsáveis perante a coletividade,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notadamente quando se tratar da efetivação de gastos que envolvam 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afetem a despesa pública.</w:t>
      </w:r>
    </w:p>
    <w:p w14:paraId="523AC7EE" w14:textId="3DEF2475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Esta é uma incontornável exigência de caráter ético-jurídico imposta pelo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postulado da moralidade administrativa. Sabemos todos que o cidadão tem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o direito de exigir que o Estado seja dirigido por administradores íntegros,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por legisladores probos e por juízes incorruptíveis, que desempenhem as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suas funções com total respeito aos postulados ético-jurídicos que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condicionam o exercício legítimo da atividade pública. O direito ao governo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honesto – nunca é demasiado reconhecê-lo - traduz uma prerrogativa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insuprimível da cidadania.</w:t>
      </w:r>
    </w:p>
    <w:p w14:paraId="146B0753" w14:textId="26A7E4FE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b/>
          <w:bCs/>
          <w:sz w:val="20"/>
          <w:szCs w:val="20"/>
        </w:rPr>
      </w:pPr>
      <w:r w:rsidRPr="00367217">
        <w:rPr>
          <w:rFonts w:cs="Times New Roman"/>
          <w:b/>
          <w:bCs/>
          <w:sz w:val="20"/>
          <w:szCs w:val="20"/>
        </w:rPr>
        <w:t>O sistema democrático e o modelo republicano não admitem – nem podem tolerar - a existência de regimes de governo sem a correspondente noção de fiscalização e de responsabilidade. Nenhum membro de qualquer instituição da República, por isso mesmo, pode pretender-se excluído da crítica social ou do alcance do controle fiscalizador da coletividade e dos órgãos estatais dele incumbidos.</w:t>
      </w:r>
    </w:p>
    <w:p w14:paraId="26A0284E" w14:textId="5FD3E91D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A imputação, a qualquer agente estatal, de atos que importem em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transgressão às leis revela-se fato que assume, perante o corpo de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cidadãos, a maior gravidade, a exigir, por isso mesmo, por efeito de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imposição ética emanada de um dos dogmas essenciais da República, 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plena apuração e o esclarecimento da verdade, tanto mais se se considerar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que o Parlamento recebeu, dos cidadãos, não só o poder de representação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política e a competência para legislar, mas, também, o mandato para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fiscalizar os órgãos agentes dos demais poderes.</w:t>
      </w:r>
    </w:p>
    <w:p w14:paraId="44CA4FE4" w14:textId="3E2AD2CA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Não se poderá jamais ignorar que o princípio republicano consagra o dogma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de que todos os agentes públicos – legisladores, magistrados 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administradores – são responsáveis perante a lei e a Constituição, devendo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expor-se, plenamente, às consequências que derivem de eventuais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comportamentos ilícitos.</w:t>
      </w:r>
    </w:p>
    <w:p w14:paraId="4B49BC4D" w14:textId="3A4E572B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A submissão de todos à supremacia da Constituição e aos princípios que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derivam da ética republicana representa o fator essencial de preservação da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ordem democrática, por cuja integridade devemos todos velar, enquanto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legisladores, enquanto magistrados ou enquanto membros do Poder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Executivo.</w:t>
      </w:r>
    </w:p>
    <w:p w14:paraId="46D5D0E7" w14:textId="49936FDA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Não foi por outro motivo que o Plenário do Supremo Tribunal Federal, ao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analisar a extensão do princípio da moralidade - que domina e abrange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todas as instâncias de poder -, proclamou que esse postulado, enquanto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valor constitucional revestido de caráter ético-jurídico, condiciona a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legitimidade e a validade de quaisquer atos estatais: “A atividade estatal,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 xml:space="preserve">qualquer que seja o domínio institucional de sua </w:t>
      </w:r>
      <w:r w:rsidRPr="00367217">
        <w:rPr>
          <w:rFonts w:cs="Times New Roman"/>
          <w:sz w:val="20"/>
          <w:szCs w:val="20"/>
        </w:rPr>
        <w:lastRenderedPageBreak/>
        <w:t>incidência, está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necessariamente subordinada à observância de parâmetros ético-jurídicos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que se refletem na consagração constitucional do princípio da moralidade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administrativa. Esse postulado fundamental, que rege a atuação do Poder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Público, confere substância e dá expressão a uma pauta de valores éticos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sobre os quais se funda a ordem positiva do Estado. O princípio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constitucional da moralidade administrativa, ao impor limitações ao exercício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do poder estatal, legitima o controle jurisdicional de todos os atos do Poder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Público que transgridam os valores éticos que devem pautar o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comportamento dos agentes e órgãos governamentais”.</w:t>
      </w:r>
    </w:p>
    <w:p w14:paraId="6CBACB28" w14:textId="1F1A95D7" w:rsidR="00280FA8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367217">
        <w:rPr>
          <w:rFonts w:cs="Times New Roman"/>
          <w:sz w:val="20"/>
          <w:szCs w:val="20"/>
        </w:rPr>
        <w:t>(STF, MS 27141 MC, Relator(a): Min. CELSO DE MELLO, julgado em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22/02/2008, publicado em DJe-034 DIVULG 26/02/2008 PUBLIC</w:t>
      </w:r>
      <w:r>
        <w:rPr>
          <w:rFonts w:cs="Times New Roman"/>
          <w:sz w:val="20"/>
          <w:szCs w:val="20"/>
        </w:rPr>
        <w:t xml:space="preserve"> </w:t>
      </w:r>
      <w:r w:rsidRPr="00367217">
        <w:rPr>
          <w:rFonts w:cs="Times New Roman"/>
          <w:sz w:val="20"/>
          <w:szCs w:val="20"/>
        </w:rPr>
        <w:t>27/02/2008) (grifos acrescidos)</w:t>
      </w:r>
    </w:p>
    <w:p w14:paraId="59F30BC1" w14:textId="5C16E339" w:rsid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7517E210" w14:textId="30487048" w:rsid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7B179DE8" w14:textId="18F76CF2" w:rsidR="00367217" w:rsidRPr="00367217" w:rsidRDefault="00367217" w:rsidP="0036721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367217">
        <w:rPr>
          <w:rFonts w:cs="Times New Roman"/>
        </w:rPr>
        <w:t>Nesse mesmo sentido foi o entendimento da Corte, nos autos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do ARE na SS 3902, Rel. Min. Ayres Brito, quando assim se consignou:</w:t>
      </w:r>
    </w:p>
    <w:p w14:paraId="5F3B375C" w14:textId="4FB76E38" w:rsidR="00367217" w:rsidRPr="00FB1421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FB1421">
        <w:rPr>
          <w:rFonts w:cs="Times New Roman"/>
          <w:sz w:val="20"/>
          <w:szCs w:val="20"/>
        </w:rPr>
        <w:t>[…] a prevalência do princípio da publicidade administrativa outra coisa não é senão um dos mais altaneiros modos de concretizar a República enquanto forma de governo. Se, por um lado, há um necessário modo republicano de administrar o Estado brasileiro, de outra parte é a cidadania mesma que tem o direito de ver o seu Estado republicanamente administrado. O “como” se administra a coisa pública a preponderar sobre o “quem” administra – falaria Norberto Bobbio -, e o fato é que esse modo público de gerir a máquina estatal é elemento conceitual da nossa República. O olho e a pálpebra da nossa fisionomia constitucional republicana.</w:t>
      </w:r>
    </w:p>
    <w:p w14:paraId="7DC7BD5A" w14:textId="2DCAA5CB" w:rsidR="00367217" w:rsidRPr="00FB1421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FB1421">
        <w:rPr>
          <w:rFonts w:cs="Times New Roman"/>
          <w:sz w:val="20"/>
          <w:szCs w:val="20"/>
        </w:rPr>
        <w:t>[…].</w:t>
      </w:r>
    </w:p>
    <w:p w14:paraId="5247170A" w14:textId="77777777" w:rsidR="00367217" w:rsidRPr="00367217" w:rsidRDefault="00367217" w:rsidP="00367217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75279E42" w14:textId="3E7D6E98" w:rsidR="00367217" w:rsidRDefault="00367217" w:rsidP="0036721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367217">
        <w:rPr>
          <w:rFonts w:cs="Times New Roman"/>
        </w:rPr>
        <w:t>Esse posicionamento foi reafirmado pelo STF, no RE 652777,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Relator Min. Teori Zavaski, julgado aos 23/04/2015, em Repercussão Geral.</w:t>
      </w:r>
    </w:p>
    <w:p w14:paraId="6608465B" w14:textId="279C9599" w:rsidR="00367217" w:rsidRDefault="00367217" w:rsidP="0036721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367217">
        <w:rPr>
          <w:rFonts w:cs="Times New Roman"/>
        </w:rPr>
        <w:t>E dada a preponderância do direito à informação no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ordenamento jurídico pátrio, o STF, em recente decisão, determinou a suspensão do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artigo 6º-B da Lei nº 13.979/2020, incluído pela Medida Provisória nº 928/2020, que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limitou o acesso às informações prestadas pelos órgãos públicos durante a emergência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de saúde pública decretada por causa da pandemia em razão da infecção humana por</w:t>
      </w:r>
      <w:r>
        <w:rPr>
          <w:rFonts w:cs="Times New Roman"/>
        </w:rPr>
        <w:t xml:space="preserve"> </w:t>
      </w:r>
      <w:r w:rsidRPr="00367217">
        <w:rPr>
          <w:rFonts w:cs="Times New Roman"/>
        </w:rPr>
        <w:t>coronavírus.</w:t>
      </w:r>
    </w:p>
    <w:p w14:paraId="3D23DFE1" w14:textId="235C5A0C" w:rsidR="00367217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Segue a ementa da decisão em referendo a cautelar proferida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no bojo da ADI nº 6.351:</w:t>
      </w:r>
    </w:p>
    <w:p w14:paraId="28F744F2" w14:textId="69E2C27F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EMENTA: CONSTITUCIONAL E ADMINISTRATIVO.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RESTRIÇÕES GENÉRICAS E ABUSIVAS À GARANTIA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CONSTITUCIONAL DE ACESSO À INFORMAÇÃO. AUSÊNCIA DE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 xml:space="preserve">RAZOABILIDADE. </w:t>
      </w:r>
      <w:r w:rsidRPr="00FB1421">
        <w:rPr>
          <w:rFonts w:cs="Times New Roman"/>
          <w:b/>
          <w:bCs/>
          <w:sz w:val="20"/>
          <w:szCs w:val="20"/>
        </w:rPr>
        <w:t>VIOLAÇÃO AOS PRINCÍPIOS DA PUBLICIDADE E TRANSPARÊNCIA. SUSPENSÃO DO ARTIGO 6º-B DA LEI 13.979/11, INCLUÍDO PELA MP 928/2020.</w:t>
      </w:r>
      <w:r w:rsidRPr="00166032">
        <w:rPr>
          <w:rFonts w:cs="Times New Roman"/>
          <w:sz w:val="20"/>
          <w:szCs w:val="20"/>
        </w:rPr>
        <w:t xml:space="preserve"> MEDIDA CAUTELAR REFERENDADA. 1. A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Constituição Federal de 1988 consagrou expressamente o princípio da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publicidade como um dos vetores imprescindíveis à Administração Pública,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conferindo-lhe absoluta prioridade na gestão administrativa e garantindo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 xml:space="preserve">pleno acesso às informações a toda a Sociedade. </w:t>
      </w:r>
      <w:r w:rsidRPr="00FB1421">
        <w:rPr>
          <w:rFonts w:cs="Times New Roman"/>
          <w:b/>
          <w:bCs/>
          <w:sz w:val="20"/>
          <w:szCs w:val="20"/>
        </w:rPr>
        <w:t xml:space="preserve">2. À consagração constitucional de publicidade e transparência corresponde a obrigatoriedade do Estado em fornecer as informações solicitadas, sob pena de responsabilização </w:t>
      </w:r>
      <w:r w:rsidRPr="00FB1421">
        <w:rPr>
          <w:rFonts w:cs="Times New Roman"/>
          <w:b/>
          <w:bCs/>
          <w:sz w:val="20"/>
          <w:szCs w:val="20"/>
        </w:rPr>
        <w:lastRenderedPageBreak/>
        <w:t>política, civil e criminal, salvo nas hipóteses constitucionais de sigilo.</w:t>
      </w:r>
      <w:r w:rsidRPr="00166032">
        <w:rPr>
          <w:rFonts w:cs="Times New Roman"/>
          <w:sz w:val="20"/>
          <w:szCs w:val="20"/>
        </w:rPr>
        <w:t xml:space="preserve"> 3. O art. 6º-B da Lei 13.979/2020, incluído pelo art.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1º da Medida Provisória 928/2020, não estabelece situações excepcionais e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concretas impeditivas de acesso à informação, pelo contrário, transforma a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regra constitucional de publicidade e transparência em exceção, invertendo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a finalidade da proteção constitucional ao livre acesso de informações a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toda sociedade. 4. Julgamento conjunto das Ações Diretas de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Inconstitucionalidade 6.347, 6351 e 6.353. Medida cautelar referendada.</w:t>
      </w:r>
      <w:r w:rsidR="00FB1421">
        <w:rPr>
          <w:rFonts w:cs="Times New Roman"/>
          <w:sz w:val="20"/>
          <w:szCs w:val="20"/>
        </w:rPr>
        <w:t xml:space="preserve"> (grifo nosso)</w:t>
      </w:r>
    </w:p>
    <w:p w14:paraId="42D69E23" w14:textId="1CF097B9" w:rsidR="00367217" w:rsidRDefault="00367217" w:rsidP="00367217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54F953F8" w14:textId="18DF0823" w:rsid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Em inúmeras outras oportunidades, o STF reforçou 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importância da transparência dos atos do Poder Público e das informações correlatas, os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quais somente podem ser mantidos em sigilo em casos excepcionais previstos em lei com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a finalidade de proteção à intimidade, ao Estado, à coletividade e à segurança nacional.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Nesse sentido, foi a decisão exarada nos autos da ADPF nº 129:</w:t>
      </w:r>
    </w:p>
    <w:p w14:paraId="7D964253" w14:textId="02F3858A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Ementa: Arguição de Descumprimento de Preceito Fundamental. Direito Constitucional. Art. 86 do Decreto-lei nº 200/1967, que prevê o sigilo da movimentação dos créditos destinados à realização de despesas reservadas ou confidenciais. Não Recepção pela Constituição de 1988. Arguição Julgada procedente. 1. O Princípio de Publicidade dos Atos da Administração Pública caracteriza-se como preceito fundamental para fins de cabimento de Arguição de Descumprimento de Preceito Fundamental. 2. O Estado Democrático de Direito instaurado pela Constituição de 1988 estabeleceu, como regra, a publicidade das informações referentes às despesas públicas, prescrevendo o sigilo como exceção, apenas quando imprescindível à segurança da sociedade e do Estado. Quanto maior for o sigilo, mais completas devem ser as justificativas para que, em nome da proteção da sociedade e do Estado, tais movimentações se realizem. 3. Os tratados internacionais e a própria Constituição Federal convergem no sentido de se reconhecer não apenas a ampla liberdade de acesso às informações públicas, corolário, como visto, do direito à liberdade de expressão, mas também a possibilidade de restringir o acesso, desde de que (i) haja previsão legal; (ii) destine-se a proteger a intimidade e a segurança nacional; e (iii) seja necessária e proporcional. 4. O art. 86 do Decreto-lei nº 200/1967, embora veiculado em norma jurídica, não foi recepcionado pela Constituição da República na medida em que é insuficiente para amparar a restrição ao direito de acesso à informação. 5. Arguição de Descumprimento de Preceito Fundamental julgada procedente.(ADPF 129, Relator(a): Min. EDSON FACHIN, Tribunal Pleno, julgado em 05/11/2019, PROCESSO ELETRÔNICO DJe-270 DIVULG 06-12-2019 PUBLIC 09-12-2019)</w:t>
      </w:r>
    </w:p>
    <w:p w14:paraId="22985ACD" w14:textId="77777777" w:rsid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107C9A2D" w14:textId="5557D316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Em convergência ao dever de publicidade e transparência, o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art. 5º, inciso XXXIII, da Constituição da República Federativa do Brasil assegura a todos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o direito de buscar informações privadas ou públicas, sem ressalvas ou embaraços por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parte do Estado, exceto quando o sigilo for imprescindível à segurança da sociedade e do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Estado.</w:t>
      </w:r>
    </w:p>
    <w:p w14:paraId="17335777" w14:textId="77777777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Art. 5º. […]</w:t>
      </w:r>
    </w:p>
    <w:p w14:paraId="24A7E314" w14:textId="6F289EEC" w:rsid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XXXIII - todos têm direito a receber dos órgãos públicos informações de seu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interesse particular, ou de interesse coletivo ou geral, que serão prestadas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 xml:space="preserve">no prazo </w:t>
      </w:r>
      <w:r w:rsidRPr="00166032">
        <w:rPr>
          <w:rFonts w:cs="Times New Roman"/>
          <w:sz w:val="20"/>
          <w:szCs w:val="20"/>
        </w:rPr>
        <w:lastRenderedPageBreak/>
        <w:t>da lei, sob pena de responsabilidade, ressalvadas aquelas cujo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sigilo seja imprescindível à segurança da sociedade e do Estado.</w:t>
      </w:r>
    </w:p>
    <w:p w14:paraId="0465A79E" w14:textId="4ADC10D2" w:rsid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777E1982" w14:textId="77777777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0F74AD42" w14:textId="70AB6755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 fim de imprimir concretude a esse direito individual e dever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estatal, publicou-se a Lei n º 12.527/2011 – Lei de Acesso à Informação -, a qual,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reafirmando o dever de transparência, disciplinou, dentre outros aspectos, a forma pela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qual a Administração deve publicar seus atos, com especial destaque para a denominada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Transparência Ativa, a qual exige que a Administração divulgue informações e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documentos de interesse geral, independentemente de solicitações.</w:t>
      </w:r>
    </w:p>
    <w:p w14:paraId="0A2770AE" w14:textId="77777777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Nesse sentido, dispõe a Lei de Acesso à Informação:</w:t>
      </w:r>
    </w:p>
    <w:p w14:paraId="05284F83" w14:textId="64ABEDCC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Art. 3º – Os procedimentos previstos nesta Lei destinam-se a assegurar o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direito fundamental de acesso à informação e devem ser executados em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conformidade com os princípios básicos da administração pública e com as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seguintes diretrizes:</w:t>
      </w:r>
    </w:p>
    <w:p w14:paraId="767F091D" w14:textId="77777777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[...]</w:t>
      </w:r>
    </w:p>
    <w:p w14:paraId="0D81560E" w14:textId="4B972F14" w:rsid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166032">
        <w:rPr>
          <w:rFonts w:cs="Times New Roman"/>
          <w:sz w:val="20"/>
          <w:szCs w:val="20"/>
        </w:rPr>
        <w:t>II – divulgação de informações de interesse público,</w:t>
      </w:r>
      <w:r>
        <w:rPr>
          <w:rFonts w:cs="Times New Roman"/>
          <w:sz w:val="20"/>
          <w:szCs w:val="20"/>
        </w:rPr>
        <w:t xml:space="preserve"> </w:t>
      </w:r>
      <w:r w:rsidRPr="00166032">
        <w:rPr>
          <w:rFonts w:cs="Times New Roman"/>
          <w:sz w:val="20"/>
          <w:szCs w:val="20"/>
        </w:rPr>
        <w:t>independentemente de solicitações.</w:t>
      </w:r>
    </w:p>
    <w:p w14:paraId="01F5E1D8" w14:textId="50E5CB33" w:rsid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1AB1320F" w14:textId="77777777" w:rsidR="00166032" w:rsidRPr="00166032" w:rsidRDefault="00166032" w:rsidP="00166032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</w:p>
    <w:p w14:paraId="2E787A31" w14:textId="7C85543D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Esse dever de transparência foi corroborado pela Lei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Complementar nº 101/2000 – Lei de Responsabilidade Fiscal (LRF) - que, disciplinando 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transparência na gestão fiscal, determinou a divulgação das informações sobre 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execução orçamentária e financeira da União, do Distrito Federal, dos Estados e dos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Municípios por intermédio de sítios eletrônicos dedicados a esse fim.</w:t>
      </w:r>
    </w:p>
    <w:p w14:paraId="42B0B2FA" w14:textId="5F46488D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 análise das disposições constitucionais e legais evidenciam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que a transparência na gestão pública, como instrumento para a concretização do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princípio democrático e republicano, </w:t>
      </w:r>
      <w:r w:rsidRPr="009215B6">
        <w:rPr>
          <w:rFonts w:cs="Times New Roman"/>
          <w:b/>
          <w:bCs/>
        </w:rPr>
        <w:t>exige a disponibilização de informações caracterizadas pela acessibilidade, qualidade, integridade e suficiência, ou seja, que possibilitem, de forma completa e ampla, por mecanismos que garantam a veracidade da informação, o seu efetivo acesso e o controle social dos atos de gestão.</w:t>
      </w:r>
      <w:r w:rsidRPr="00166032">
        <w:rPr>
          <w:rFonts w:cs="Times New Roman"/>
        </w:rPr>
        <w:t xml:space="preserve"> Ademais, essa informação deve ser disponibilizada em </w:t>
      </w:r>
      <w:r w:rsidRPr="009215B6">
        <w:rPr>
          <w:rFonts w:cs="Times New Roman"/>
          <w:b/>
          <w:bCs/>
        </w:rPr>
        <w:t>tempo real</w:t>
      </w:r>
      <w:r w:rsidRPr="00166032">
        <w:rPr>
          <w:rFonts w:cs="Times New Roman"/>
        </w:rPr>
        <w:t>, de forma que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assegure a efetividade do controle social.</w:t>
      </w:r>
    </w:p>
    <w:p w14:paraId="134764D0" w14:textId="421B8915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E nesse sentido caminhou a MP 1026/2021, ao estabelecer, em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seu artigo 14, que as informações ali exigidas constituem apenas </w:t>
      </w:r>
      <w:r w:rsidRPr="009215B6">
        <w:rPr>
          <w:rFonts w:cs="Times New Roman"/>
          <w:b/>
          <w:bCs/>
        </w:rPr>
        <w:t>um mínimo</w:t>
      </w:r>
      <w:r w:rsidRPr="00166032">
        <w:rPr>
          <w:rFonts w:cs="Times New Roman"/>
        </w:rPr>
        <w:t xml:space="preserve"> que será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inexoravelmente incrementado se a efetividade da transparência ativa, do controle e da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participação social assim exigirem.</w:t>
      </w:r>
    </w:p>
    <w:p w14:paraId="4968D5AC" w14:textId="562A9CD4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Indiscutível é, no atual contexto de escassez de vacinas e de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alta demanda </w:t>
      </w:r>
      <w:r w:rsidRPr="00166032">
        <w:rPr>
          <w:rFonts w:cs="Times New Roman"/>
        </w:rPr>
        <w:lastRenderedPageBreak/>
        <w:t>pelos imunizantes, a importância do controle, tanto da sociedade, como dos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órgãos de controle, sobre os atos da Administração Pública na execução do Plano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Nacional de Operacionalização da Vacinação contra a Covid-19, a fim de que alcance o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seu objetivo de salvar o maior número de vidas, com a imunização imediata da população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mais vulnerável e mais propensa ao desenvolvimento da doença, o que, por sua vez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evitará o colapso do sistema de saúde, permitindo que este absorva a demanda até que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todos estejam imunizados.</w:t>
      </w:r>
    </w:p>
    <w:p w14:paraId="27BFD6EC" w14:textId="3F2E1B54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E, para tanto, necessário que todos tenham acesso às</w:t>
      </w:r>
      <w:r>
        <w:rPr>
          <w:rFonts w:cs="Times New Roman"/>
        </w:rPr>
        <w:t xml:space="preserve"> </w:t>
      </w:r>
      <w:r w:rsidRPr="00166032">
        <w:rPr>
          <w:rFonts w:cs="Times New Roman"/>
        </w:rPr>
        <w:t>informações relativas às pessoas que foram imunizadas (por meio de nome), do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grupo prioritário a que pertencem, data da vacinação, número do lote e agente público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responsável pela vacinação. A disponibilização de tais informações, além de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indispensável, no atual contexto, para a garantia do direito à vida e à saúde de milhares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de cidadãos brasileiros, conforme a estratégia mundial adotada para o combate à Covid-19, não compromete o direito à privacidade daqueles que estão sendo, prioritariamente,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imunizados.</w:t>
      </w:r>
    </w:p>
    <w:p w14:paraId="49561361" w14:textId="335A3925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O direito à privacidade, como direito à reserva de informações pessoais e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da própria vida pessoal, assim como todos os direitos fundamentais, deve ser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compreendido a partir da relatividade ínsita aos direitos fundamentais, que permite sua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integração ao conjunto de valores comunitários, a partir de uma ideia de responsabilidade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social.</w:t>
      </w:r>
    </w:p>
    <w:p w14:paraId="44C72A68" w14:textId="5BDA3E08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Como é cediço, no sistema constitucional, os direitos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fundamentais, em razão de sua universalidade e heterogeneidade, são relativos e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limitados. Da mesma forma que o direito à informação, à vida e à saúde podem sofrer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restrições quando em colisão com outros direitos fundamentais de igual ou maior peso no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caso concreto, o direito à privacidade também poderá ser restringido, desde que as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restrições sejam adequadas, necessárias e proporcionais à efetivação do direito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contraposto.</w:t>
      </w:r>
    </w:p>
    <w:p w14:paraId="7E917303" w14:textId="4448212F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No atual contexto, já tão exaustivamente exposto em linhas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pretéritas, é inquestionável que a divulgação das informações complementares relativas à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vacinação, em especial o nome das pessoas que receberam o imunizante,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prioritariamente, relacionado ao grupo prioritário elegível, revela-se como condição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indispensável para o efetivo controle, pela sociedade e pelos órgãos de controle, da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observância da ordem prioritária na aplicação das vacinas, o que, por sua vez, também se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revela de fundamental importância para que o Plano Nacional de Operacionalização da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Vacinação contra a Covid-19 alcance os objetivos </w:t>
      </w:r>
      <w:r w:rsidRPr="00166032">
        <w:rPr>
          <w:rFonts w:cs="Times New Roman"/>
        </w:rPr>
        <w:lastRenderedPageBreak/>
        <w:t>propostos, que se consubstanciam no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salvamento do maior número de vidas possível, pela imunização dos mais vulneráveis e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propensos ao desenvolvimento da doença e evitação do colapso do sistema de saúde, 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que possibilitará o adequado atendimento da população, até que todos estejam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imunizados.</w:t>
      </w:r>
    </w:p>
    <w:p w14:paraId="24805B28" w14:textId="3497C476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 ausência dessas informações inviabilizará o controle sobre 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efetivo cumprimento do Plano Nacional de Operacionalização da Vacinação conta 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Covid-19, com inegável prejuízo ao direito à vida e à saúde de milhões de brasileiros.</w:t>
      </w:r>
    </w:p>
    <w:p w14:paraId="2EF80B26" w14:textId="5F74B45F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Por outro lado, a informação sobre o nome das pessoas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imunizadas, com o</w:t>
      </w:r>
      <w:r w:rsidR="00FB1421">
        <w:rPr>
          <w:rFonts w:cs="Times New Roman"/>
        </w:rPr>
        <w:t>s</w:t>
      </w:r>
      <w:r w:rsidRPr="00166032">
        <w:rPr>
          <w:rFonts w:cs="Times New Roman"/>
        </w:rPr>
        <w:t xml:space="preserve"> grupos prioritários a que pertencem, sem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identificação das comorbidades acaso existentes ou de informações adicionais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acerca de aspectos próprios da saúde do vacinado, constitui informação que, no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contexto atual, ultrapassa a esfera de interesse pessoal, cuja exposição não esbarra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naquele âmbito intangível da vida pessoal, resguardado pelo Constituinte. Ao contrário,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pelo interesse público que ostenta, sua exposição constitui garantia de direitos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fundamentais (como a vida e a saúde) de milhões de brasileiros, o que afasta qualquer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alegação de inconstitucionalidade da divulgação.</w:t>
      </w:r>
    </w:p>
    <w:p w14:paraId="55DA2F12" w14:textId="45CDA8F0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Se é que a divulgação de nome</w:t>
      </w:r>
      <w:r w:rsidR="00FB1421">
        <w:rPr>
          <w:rFonts w:cs="Times New Roman"/>
        </w:rPr>
        <w:t xml:space="preserve"> </w:t>
      </w:r>
      <w:r w:rsidRPr="00166032">
        <w:rPr>
          <w:rFonts w:cs="Times New Roman"/>
        </w:rPr>
        <w:t>e do grupo prioritário 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que pertencem os vacinados, ao lado das demais informações complementares já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apontadas nesta inicial, pode ser considerada uma “restrição” ao direito fundamental à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intimidade, tal restrição revela-se absolutamente adequada, necessária e proporcional à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garantia dos direitos contrapostos que se objetiva resguardar, quais sejam o direito à vida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e à saúde de milhares de brasileiros, que se beneficiarão com o escorreito cumprimento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do Plano Nacional de Operacionalização da Vacinação contra a Covid-19, além do direito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à informação e à probidade da Administração.</w:t>
      </w:r>
    </w:p>
    <w:p w14:paraId="45532C78" w14:textId="3963F495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Necessário pontuar que a Lei 13.709/2018 – L</w:t>
      </w:r>
      <w:r w:rsidR="00FB1421">
        <w:rPr>
          <w:rFonts w:cs="Times New Roman"/>
        </w:rPr>
        <w:t xml:space="preserve">ei </w:t>
      </w:r>
      <w:r w:rsidRPr="00166032">
        <w:rPr>
          <w:rFonts w:cs="Times New Roman"/>
        </w:rPr>
        <w:t>G</w:t>
      </w:r>
      <w:r w:rsidR="00FB1421">
        <w:rPr>
          <w:rFonts w:cs="Times New Roman"/>
        </w:rPr>
        <w:t xml:space="preserve">eral de </w:t>
      </w:r>
      <w:r w:rsidRPr="00166032">
        <w:rPr>
          <w:rFonts w:cs="Times New Roman"/>
        </w:rPr>
        <w:t>P</w:t>
      </w:r>
      <w:r w:rsidR="00FB1421">
        <w:rPr>
          <w:rFonts w:cs="Times New Roman"/>
        </w:rPr>
        <w:t xml:space="preserve">roteção de </w:t>
      </w:r>
      <w:r w:rsidRPr="00166032">
        <w:rPr>
          <w:rFonts w:cs="Times New Roman"/>
        </w:rPr>
        <w:t>D</w:t>
      </w:r>
      <w:r w:rsidR="00FB1421">
        <w:rPr>
          <w:rFonts w:cs="Times New Roman"/>
        </w:rPr>
        <w:t>ados – LGPD</w:t>
      </w:r>
      <w:r w:rsidRPr="00166032">
        <w:rPr>
          <w:rFonts w:cs="Times New Roman"/>
        </w:rPr>
        <w:t xml:space="preserve"> </w:t>
      </w:r>
      <w:r w:rsidR="009215B6">
        <w:rPr>
          <w:rFonts w:cs="Times New Roman"/>
        </w:rPr>
        <w:t>–</w:t>
      </w:r>
      <w:r w:rsidRPr="00166032">
        <w:rPr>
          <w:rFonts w:cs="Times New Roman"/>
        </w:rPr>
        <w:t xml:space="preserve"> não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constitui óbice à divulgação que ora se pretende. Eis o que estabelece o artigo 1º da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referida lei:</w:t>
      </w:r>
    </w:p>
    <w:p w14:paraId="14BE4098" w14:textId="6F196071" w:rsidR="00166032" w:rsidRPr="009215B6" w:rsidRDefault="00166032" w:rsidP="009215B6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9215B6">
        <w:rPr>
          <w:rFonts w:cs="Times New Roman"/>
          <w:sz w:val="20"/>
          <w:szCs w:val="20"/>
        </w:rPr>
        <w:t>Art. 1º Esta Lei dispõe sobre o tratamento de dados pessoais, inclusive nos</w:t>
      </w:r>
      <w:r w:rsidR="009215B6" w:rsidRPr="009215B6">
        <w:rPr>
          <w:rFonts w:cs="Times New Roman"/>
          <w:sz w:val="20"/>
          <w:szCs w:val="20"/>
        </w:rPr>
        <w:t xml:space="preserve"> </w:t>
      </w:r>
      <w:r w:rsidRPr="009215B6">
        <w:rPr>
          <w:rFonts w:cs="Times New Roman"/>
          <w:sz w:val="20"/>
          <w:szCs w:val="20"/>
        </w:rPr>
        <w:t>meios digitais, por pessoa natural ou por pessoa jurídica de direito público</w:t>
      </w:r>
      <w:r w:rsidR="009215B6" w:rsidRPr="009215B6">
        <w:rPr>
          <w:rFonts w:cs="Times New Roman"/>
          <w:sz w:val="20"/>
          <w:szCs w:val="20"/>
        </w:rPr>
        <w:t xml:space="preserve"> </w:t>
      </w:r>
      <w:r w:rsidRPr="009215B6">
        <w:rPr>
          <w:rFonts w:cs="Times New Roman"/>
          <w:sz w:val="20"/>
          <w:szCs w:val="20"/>
        </w:rPr>
        <w:t>ou privado, com o objetivo de proteger os direitos fundamentais de</w:t>
      </w:r>
      <w:r w:rsidR="009215B6" w:rsidRPr="009215B6">
        <w:rPr>
          <w:rFonts w:cs="Times New Roman"/>
          <w:sz w:val="20"/>
          <w:szCs w:val="20"/>
        </w:rPr>
        <w:t xml:space="preserve"> </w:t>
      </w:r>
      <w:r w:rsidRPr="009215B6">
        <w:rPr>
          <w:rFonts w:cs="Times New Roman"/>
          <w:sz w:val="20"/>
          <w:szCs w:val="20"/>
        </w:rPr>
        <w:t>liberdade e de privacidade e o livre desenvolvimento da personalidade</w:t>
      </w:r>
      <w:r w:rsidR="009215B6" w:rsidRPr="009215B6">
        <w:rPr>
          <w:rFonts w:cs="Times New Roman"/>
          <w:sz w:val="20"/>
          <w:szCs w:val="20"/>
        </w:rPr>
        <w:t xml:space="preserve"> </w:t>
      </w:r>
      <w:r w:rsidRPr="009215B6">
        <w:rPr>
          <w:rFonts w:cs="Times New Roman"/>
          <w:sz w:val="20"/>
          <w:szCs w:val="20"/>
        </w:rPr>
        <w:t>da pessoa natural.</w:t>
      </w:r>
    </w:p>
    <w:p w14:paraId="7BECF1FD" w14:textId="77777777" w:rsidR="009215B6" w:rsidRDefault="009215B6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26E30BCA" w14:textId="2F65FA1E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Como norma infraconstitucional, a LGPD deve ser interpretada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>à luz da Constituição Federal e do sistema de direitos fundamentais. Para o alcance do</w:t>
      </w:r>
      <w:r w:rsidR="009215B6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objetivo de </w:t>
      </w:r>
      <w:r w:rsidRPr="00166032">
        <w:rPr>
          <w:rFonts w:cs="Times New Roman"/>
        </w:rPr>
        <w:lastRenderedPageBreak/>
        <w:t>proteger os direitos fundamentais de liberdade e de privacidade e o livre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desenvolvimento da personalidade da pessoa natural, de forma universal, impossível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desconsiderar a relatividade desses direitos e a sua coexistência com direitos outros, de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igual envergadura, previstos na Constituição Federal, dos mesmos titulares e de titulares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diversos.</w:t>
      </w:r>
    </w:p>
    <w:p w14:paraId="7F201C2E" w14:textId="77777777" w:rsidR="00684EFC" w:rsidRDefault="00166032" w:rsidP="00684EFC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Nessa linha de intelecção, as disposições da LGPD não podem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constituir um obstáculo à garantia dos direitos que ela própria visa resguardar e que se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justificam no sistema constitucional brasileiro a partir da coexistência com outros direitos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de igual envergadura, garantidos pela Constituição Federal.</w:t>
      </w:r>
    </w:p>
    <w:p w14:paraId="7774A1AE" w14:textId="6C0DA816" w:rsid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Importante registrar que, em ação civil pública proposta pelo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Ministério Público Federal, Ministério Público do Estado do Amazonas, Defensoria Pública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da União e Defensoria Pública do Estado do Amazonas em que se postulava as mesmas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providências que ora se requestam, foi deferida pela Justiça Federal do Amazonas, aos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23/01/2021, a tutela de urgência par a determinar, dentre outras medidas, ao Município de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Manaus, a publicação, no sítio da internet, diariamente, da relação de pessoas vacinadas,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até as 19 horas do dia respectivo, com identificação de nome, CPF, local onde foi feita 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imunização, função exercida pelo responsável pela vacinação, conforme decisão exarada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nos autos de registro 1000984-67.2021.4.01.3200</w:t>
      </w:r>
      <w:r w:rsidR="00684EFC">
        <w:rPr>
          <w:rStyle w:val="Refdenotaderodap"/>
          <w:rFonts w:cs="Times New Roman"/>
        </w:rPr>
        <w:footnoteReference w:id="12"/>
      </w:r>
      <w:r w:rsidRPr="00166032">
        <w:rPr>
          <w:rFonts w:cs="Times New Roman"/>
        </w:rPr>
        <w:t>.</w:t>
      </w:r>
    </w:p>
    <w:p w14:paraId="4E6DD07D" w14:textId="77777777" w:rsidR="00684EFC" w:rsidRPr="00166032" w:rsidRDefault="00684EFC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506B9489" w14:textId="70F78372" w:rsidR="00166032" w:rsidRDefault="00166032" w:rsidP="00684EFC">
      <w:pPr>
        <w:numPr>
          <w:ilvl w:val="0"/>
          <w:numId w:val="21"/>
        </w:numPr>
        <w:shd w:val="clear" w:color="auto" w:fill="FDFDFD"/>
        <w:spacing w:line="360" w:lineRule="auto"/>
        <w:jc w:val="both"/>
        <w:rPr>
          <w:rFonts w:cs="Times New Roman"/>
          <w:b/>
          <w:bCs/>
        </w:rPr>
      </w:pPr>
      <w:r w:rsidRPr="00684EFC">
        <w:rPr>
          <w:rFonts w:cs="Times New Roman"/>
          <w:b/>
          <w:bCs/>
        </w:rPr>
        <w:t>DA TUTELA PROVISÓRIA DE URGÊNCIA</w:t>
      </w:r>
    </w:p>
    <w:p w14:paraId="627A90E4" w14:textId="77777777" w:rsidR="00684EFC" w:rsidRPr="00684EFC" w:rsidRDefault="00684EFC" w:rsidP="00684EFC">
      <w:pPr>
        <w:shd w:val="clear" w:color="auto" w:fill="FDFDFD"/>
        <w:spacing w:line="360" w:lineRule="auto"/>
        <w:ind w:left="720"/>
        <w:jc w:val="both"/>
        <w:rPr>
          <w:rFonts w:cs="Times New Roman"/>
          <w:b/>
          <w:bCs/>
        </w:rPr>
      </w:pPr>
    </w:p>
    <w:p w14:paraId="7C448DBB" w14:textId="71CCF466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O novel CPC, reformulou, de forma substancial e mais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sistemática, a tutela provisória no sistema processual brasileiro.</w:t>
      </w:r>
      <w:r w:rsidR="00FB1421">
        <w:rPr>
          <w:rFonts w:cs="Times New Roman"/>
        </w:rPr>
        <w:t xml:space="preserve"> </w:t>
      </w:r>
      <w:r w:rsidRPr="00166032">
        <w:rPr>
          <w:rFonts w:cs="Times New Roman"/>
        </w:rPr>
        <w:t>De acordo com a nova disciplina processual, a tutela provisória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pode fundamentar-se na urgência ou na evidência.</w:t>
      </w:r>
      <w:r w:rsidR="00FB1421">
        <w:rPr>
          <w:rFonts w:cs="Times New Roman"/>
        </w:rPr>
        <w:t xml:space="preserve"> </w:t>
      </w:r>
      <w:r w:rsidRPr="00166032">
        <w:rPr>
          <w:rFonts w:cs="Times New Roman"/>
        </w:rPr>
        <w:t>Conforme lição de Didier</w:t>
      </w:r>
      <w:r w:rsidR="00FB1421">
        <w:rPr>
          <w:rFonts w:cs="Times New Roman"/>
        </w:rPr>
        <w:t>:</w:t>
      </w:r>
    </w:p>
    <w:p w14:paraId="5EEC9C31" w14:textId="5DE161B9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Em situação de urgência, o tempo necessário para a obtenção da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tutela definitiva (satisfativa ou cautelar) pode colocar em risco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sua efetividade. Este é um dos males do tempo do processo.</w:t>
      </w:r>
    </w:p>
    <w:p w14:paraId="1442A8E0" w14:textId="113E9FC9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Em situação de mera evidência (sem urgência), o tempo necessário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para a obtenção da tutela definitiva (satisfativa) não deve ser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suportado pelo titular do direito assentado em informações de fato</w:t>
      </w:r>
    </w:p>
    <w:p w14:paraId="51E79C8B" w14:textId="3CA70C74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comprovadas, que se possam dizer evidentes. Haveria, em tais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casos, violação ao princípio da igualdade (grifou-se).</w:t>
      </w:r>
    </w:p>
    <w:p w14:paraId="3D6D6C18" w14:textId="77777777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[…].</w:t>
      </w:r>
    </w:p>
    <w:p w14:paraId="77BC007B" w14:textId="59532596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A principal finalidade da tutela provisória é abrandar os males do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 xml:space="preserve">tempo e garantir a </w:t>
      </w:r>
      <w:r w:rsidRPr="00684EFC">
        <w:rPr>
          <w:rFonts w:cs="Times New Roman"/>
          <w:sz w:val="20"/>
          <w:szCs w:val="20"/>
        </w:rPr>
        <w:lastRenderedPageBreak/>
        <w:t>efetividade da jurisdição (os efeitos da tutela).</w:t>
      </w:r>
    </w:p>
    <w:p w14:paraId="180DDF9C" w14:textId="4DDA5A96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Serve então, para redistribuir, em homenagem ao princípio da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igualdade, o ônus do tempo do processo, conforme célebre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imagem de Luiz Guilherme Marinoni. Se é inexorável que o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processo demore, é preciso que o peso do tempo seja repartido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entre as partes e não somente o demandante arque com ele.</w:t>
      </w:r>
    </w:p>
    <w:p w14:paraId="23E621BE" w14:textId="5EC8DA4C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(DIDIER JR., Freddie. BRAGA, Paula Sarno.</w:t>
      </w:r>
      <w:r w:rsidR="00FB1421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OLIVEIRA, Rafael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Alexandria de. Curso de direito processual civil. Teroria da prova,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direito probatório, decisão precedente, coisa julgada e tutela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provisória. 10 ed. Rev. ampl. atual. Salvador: Editora Juspodivm,</w:t>
      </w:r>
      <w:r w:rsid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2015, Vol. 2.)</w:t>
      </w:r>
    </w:p>
    <w:p w14:paraId="04C32C66" w14:textId="77777777" w:rsidR="00684EFC" w:rsidRDefault="00684EFC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44E98AA2" w14:textId="5A6B8F84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 tutela provisória de urgência funda-se, além de</w:t>
      </w:r>
      <w:r w:rsidR="00FB1421">
        <w:rPr>
          <w:rFonts w:cs="Times New Roman"/>
        </w:rPr>
        <w:t>,</w:t>
      </w:r>
      <w:r w:rsidRPr="00166032">
        <w:rPr>
          <w:rFonts w:cs="Times New Roman"/>
        </w:rPr>
        <w:t xml:space="preserve"> na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probabilidade do direito - a fumaça do bom direito -, no perigo de dano ou de risco ao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resultado útil do processo, ou seja, o </w:t>
      </w:r>
      <w:r w:rsidRPr="00FB1421">
        <w:rPr>
          <w:rFonts w:cs="Times New Roman"/>
          <w:i/>
          <w:iCs/>
        </w:rPr>
        <w:t>periculum in mora</w:t>
      </w:r>
      <w:r w:rsidRPr="00166032">
        <w:rPr>
          <w:rFonts w:cs="Times New Roman"/>
        </w:rPr>
        <w:t xml:space="preserve"> (artigo 300, NCPC). Como se vê,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o NCPC superou a distinção entre os requisitos da concessão para a tutela cautelar 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para a tutela satisfativa de urgência, erigindo a probabilidade e o perigo da demora 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requisitos comuns para a prestação de ambas as tutelas de forma antecipada (Enunciado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143 do Fórum Permanente de Processualistas Civis).</w:t>
      </w:r>
    </w:p>
    <w:p w14:paraId="136C0604" w14:textId="1447B584" w:rsidR="00166032" w:rsidRPr="00684EFC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  <w:color w:val="FF0000"/>
        </w:rPr>
      </w:pPr>
      <w:r w:rsidRPr="00166032">
        <w:rPr>
          <w:rFonts w:cs="Times New Roman"/>
        </w:rPr>
        <w:t>A probabilidade do direito resulta evidenciada na ausência de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cumprimento, pelo MUNICÍPIO DE </w:t>
      </w:r>
      <w:r w:rsidR="00684EFC">
        <w:rPr>
          <w:rFonts w:cs="Times New Roman"/>
        </w:rPr>
        <w:t>_________________</w:t>
      </w:r>
      <w:r w:rsidRPr="00166032">
        <w:rPr>
          <w:rFonts w:cs="Times New Roman"/>
        </w:rPr>
        <w:t>, das recomendações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realizadas pelo MINISTÉRIO PÚBLICO, por determinação imposta pelo artigo 14 da MP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1026/2021, a partir de uma interpretação conjunta com o artigo 37, caput, da CF e da Lei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12.527/2011, que delineiam e concretizam o </w:t>
      </w:r>
      <w:r w:rsidRPr="00FB1421">
        <w:rPr>
          <w:rFonts w:cs="Times New Roman"/>
          <w:b/>
          <w:bCs/>
        </w:rPr>
        <w:t>princípio da publicidade</w:t>
      </w:r>
      <w:r w:rsidRPr="00166032">
        <w:rPr>
          <w:rFonts w:cs="Times New Roman"/>
        </w:rPr>
        <w:t xml:space="preserve"> e seu substrato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material – a </w:t>
      </w:r>
      <w:r w:rsidRPr="00FB1421">
        <w:rPr>
          <w:rFonts w:cs="Times New Roman"/>
          <w:b/>
          <w:bCs/>
        </w:rPr>
        <w:t xml:space="preserve">transparência </w:t>
      </w:r>
      <w:r w:rsidRPr="00166032">
        <w:rPr>
          <w:rFonts w:cs="Times New Roman"/>
        </w:rPr>
        <w:t xml:space="preserve">– , constatada pelo simples acesso à internet (ao </w:t>
      </w:r>
      <w:r w:rsidRPr="00FB1421">
        <w:rPr>
          <w:rFonts w:cs="Times New Roman"/>
          <w:i/>
          <w:iCs/>
        </w:rPr>
        <w:t>site</w:t>
      </w:r>
      <w:r w:rsidRPr="00166032">
        <w:rPr>
          <w:rFonts w:cs="Times New Roman"/>
        </w:rPr>
        <w:t xml:space="preserve"> do ente já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desenvolvido ou a ausência de </w:t>
      </w:r>
      <w:r w:rsidRPr="00FB1421">
        <w:rPr>
          <w:rFonts w:cs="Times New Roman"/>
          <w:i/>
          <w:iCs/>
        </w:rPr>
        <w:t>site</w:t>
      </w:r>
      <w:r w:rsidRPr="00166032">
        <w:rPr>
          <w:rFonts w:cs="Times New Roman"/>
        </w:rPr>
        <w:t xml:space="preserve"> específico) ou pela resposta encaminhada </w:t>
      </w:r>
      <w:r w:rsidRPr="00684EFC">
        <w:rPr>
          <w:rFonts w:cs="Times New Roman"/>
          <w:color w:val="FF0000"/>
          <w:highlight w:val="yellow"/>
        </w:rPr>
        <w:t>(adequar à</w:t>
      </w:r>
      <w:r w:rsidR="00684EFC" w:rsidRPr="00684EFC">
        <w:rPr>
          <w:rFonts w:cs="Times New Roman"/>
          <w:color w:val="FF0000"/>
          <w:highlight w:val="yellow"/>
        </w:rPr>
        <w:t xml:space="preserve"> </w:t>
      </w:r>
      <w:r w:rsidRPr="00684EFC">
        <w:rPr>
          <w:rFonts w:cs="Times New Roman"/>
          <w:color w:val="FF0000"/>
          <w:highlight w:val="yellow"/>
        </w:rPr>
        <w:t>situação concreta)</w:t>
      </w:r>
      <w:r w:rsidR="00684EFC">
        <w:rPr>
          <w:rFonts w:cs="Times New Roman"/>
          <w:color w:val="FF0000"/>
        </w:rPr>
        <w:t>.</w:t>
      </w:r>
    </w:p>
    <w:p w14:paraId="64DBF37D" w14:textId="30481791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Assim sendo, patente a fumaça do bom direito necessária ao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deferimento da tutela provisória de urgência, na forma do artigo 300 do NCPC.</w:t>
      </w:r>
    </w:p>
    <w:p w14:paraId="6518FD37" w14:textId="77777777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Por outro lado, presente também se faz o perigo de dano.</w:t>
      </w:r>
    </w:p>
    <w:p w14:paraId="31BA8FEC" w14:textId="1F9AECCA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 xml:space="preserve">Tal requisito, que materializa o </w:t>
      </w:r>
      <w:r w:rsidRPr="00684EFC">
        <w:rPr>
          <w:rFonts w:cs="Times New Roman"/>
          <w:i/>
          <w:iCs/>
        </w:rPr>
        <w:t>periculum in mora</w:t>
      </w:r>
      <w:r w:rsidRPr="00166032">
        <w:rPr>
          <w:rFonts w:cs="Times New Roman"/>
        </w:rPr>
        <w:t>, encontra-se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consubstanciado na postura do MUNICÍPIO DE </w:t>
      </w:r>
      <w:r w:rsidR="00684EFC">
        <w:rPr>
          <w:rFonts w:cs="Times New Roman"/>
        </w:rPr>
        <w:t>____________</w:t>
      </w:r>
      <w:r w:rsidRPr="00166032">
        <w:rPr>
          <w:rFonts w:cs="Times New Roman"/>
        </w:rPr>
        <w:t xml:space="preserve"> de não</w:t>
      </w:r>
      <w:r w:rsidR="00684EFC">
        <w:rPr>
          <w:rFonts w:cs="Times New Roman"/>
        </w:rPr>
        <w:t xml:space="preserve"> </w:t>
      </w:r>
      <w:r w:rsidR="00684EFC" w:rsidRPr="00166032">
        <w:rPr>
          <w:rFonts w:cs="Times New Roman"/>
        </w:rPr>
        <w:t>disponibilizar</w:t>
      </w:r>
      <w:r w:rsidRPr="00166032">
        <w:rPr>
          <w:rFonts w:cs="Times New Roman"/>
        </w:rPr>
        <w:t>, em tempo real, as informações relativas ao Plano Nacional de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Operacionalização da Vacinação contra Covid-19, exigidas pelo artigo 14 da MP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1026/2021, e complementares, autorizadas pelo referido artigo 14,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indispensáveis à transparência ativa e ao controle social e dos órgãos de controle, em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especial o nome dos vacinados e o grupo prioritário a que pertencem, além da data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da vacinação, número do lote e nome do agente público responsável pela vacinação.</w:t>
      </w:r>
    </w:p>
    <w:p w14:paraId="34389C47" w14:textId="07DD2AEE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lastRenderedPageBreak/>
        <w:t>Importante registrar que o cumprimento do dever de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transparência imposto pelo constituinte e, de forma bastante exigente e incisiva, pelo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legislador ordinário, por meio da MP 1026/2021, revela-se não apenas como garantia ao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direito à informação e à probidade da Administração Pública, mas especialmente à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garantia do direito à vida e à saúde de milhões de brasileiros que poderão ser salvos, com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a execução adequada do Plano Nacional de Operacionalização da Vacinação contra 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Covid-19.</w:t>
      </w:r>
    </w:p>
    <w:p w14:paraId="1D337089" w14:textId="772F69B7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 possibilidade de concessão de medida acautelatória liminar,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em ação civil pública, é expressamente prevista no artigo 12 da Lei 7.347/85:</w:t>
      </w:r>
    </w:p>
    <w:p w14:paraId="607B6DD4" w14:textId="21565821" w:rsidR="00166032" w:rsidRPr="00684EFC" w:rsidRDefault="00166032" w:rsidP="00684EFC">
      <w:pPr>
        <w:shd w:val="clear" w:color="auto" w:fill="FDFDFD"/>
        <w:spacing w:line="240" w:lineRule="auto"/>
        <w:ind w:left="2268"/>
        <w:jc w:val="both"/>
        <w:rPr>
          <w:rFonts w:cs="Times New Roman"/>
          <w:sz w:val="20"/>
          <w:szCs w:val="20"/>
        </w:rPr>
      </w:pPr>
      <w:r w:rsidRPr="00684EFC">
        <w:rPr>
          <w:rFonts w:cs="Times New Roman"/>
          <w:sz w:val="20"/>
          <w:szCs w:val="20"/>
        </w:rPr>
        <w:t>Art. 12. Poderá o juiz conceder mandado liminar, com ou sem justificação</w:t>
      </w:r>
      <w:r w:rsidR="00FB1421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prévia, em decisão sujeita a agravo.</w:t>
      </w:r>
    </w:p>
    <w:p w14:paraId="0383D75E" w14:textId="77777777" w:rsidR="00684EFC" w:rsidRDefault="00684EFC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07CA1BD2" w14:textId="7744C146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Assim, com base nos fundamentos ora expendidos, bem como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forte nos argumentos expostos ao longo desta petição inicial, requer o MINISTÉRIO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PÚBLICO seja concedida a antecipação dos efeitos da tutela, com fundamento na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urgência (artigo 300 NCPC), independentemente da ouvida do MUNICÍPIO DE</w:t>
      </w:r>
      <w:r w:rsidR="00684EFC">
        <w:rPr>
          <w:rFonts w:cs="Times New Roman"/>
        </w:rPr>
        <w:t xml:space="preserve"> ____________</w:t>
      </w:r>
      <w:r w:rsidR="00E46D1A">
        <w:rPr>
          <w:rFonts w:cs="Times New Roman"/>
        </w:rPr>
        <w:t>__</w:t>
      </w:r>
      <w:r w:rsidRPr="00166032">
        <w:rPr>
          <w:rFonts w:cs="Times New Roman"/>
        </w:rPr>
        <w:t>, no prazo de 72 (setenta e duas) horas</w:t>
      </w:r>
      <w:r w:rsidR="00684EFC">
        <w:rPr>
          <w:rStyle w:val="Refdenotaderodap"/>
          <w:rFonts w:cs="Times New Roman"/>
        </w:rPr>
        <w:footnoteReference w:id="13"/>
      </w:r>
      <w:r w:rsidRPr="00166032">
        <w:rPr>
          <w:rFonts w:cs="Times New Roman"/>
        </w:rPr>
        <w:t>, nos termos do artigo 2º</w:t>
      </w:r>
      <w:r w:rsidR="00684EFC">
        <w:rPr>
          <w:rFonts w:cs="Times New Roman"/>
        </w:rPr>
        <w:t xml:space="preserve"> </w:t>
      </w:r>
      <w:r w:rsidRPr="00166032">
        <w:rPr>
          <w:rFonts w:cs="Times New Roman"/>
        </w:rPr>
        <w:t>da Lei 8.437/92, a fim de:</w:t>
      </w:r>
    </w:p>
    <w:p w14:paraId="312CCD4C" w14:textId="23AEA58F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 xml:space="preserve">a) impor ao MUNICÍPIO DE </w:t>
      </w:r>
      <w:r w:rsidR="00E46D1A">
        <w:rPr>
          <w:rFonts w:cs="Times New Roman"/>
        </w:rPr>
        <w:t>______________</w:t>
      </w:r>
      <w:r w:rsidRPr="00166032">
        <w:rPr>
          <w:rFonts w:cs="Times New Roman"/>
        </w:rPr>
        <w:t xml:space="preserve"> a obrigação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de fazer de disponibilizar, em site específico (ou aba específica no site oficial do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Município) os dados e informações relativos ao Plano Nacional de Operacionalização da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Vacinação contra a Covid-19, elencados no artigo 14 da MP</w:t>
      </w:r>
      <w:r w:rsidR="00FB1421">
        <w:rPr>
          <w:rFonts w:cs="Times New Roman"/>
        </w:rPr>
        <w:t xml:space="preserve"> </w:t>
      </w:r>
      <w:r w:rsidRPr="00166032">
        <w:rPr>
          <w:rFonts w:cs="Times New Roman"/>
        </w:rPr>
        <w:t>1026/2021, bem como das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informações relativas ao nome, e grupo prioritário a que pertencem, das pessoas já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vacinadas, data da vacinação, número de </w:t>
      </w:r>
      <w:r w:rsidRPr="00166032">
        <w:rPr>
          <w:rFonts w:cs="Times New Roman"/>
        </w:rPr>
        <w:lastRenderedPageBreak/>
        <w:t>lote da vacina aplicada, bem como o agente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público responsável pela vacinação, com alimentação diária das informações, a fim de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possibilitar o acompanhamento, em tempo real, pelo cidadão e pelos órgãos de controle,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sob pena de multa diária, a ser aplicada pessoalmente ao Prefeito, autoridade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responsável pelo cumprimento da decisão, no valor de R$ 5.000,00 (cinco mil reais),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conforme autoriza o artigo 297, parágrafo único, c/c 536, § 1º, artigo 77, inciso IV 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artigo 6º, todos do CPC.</w:t>
      </w:r>
    </w:p>
    <w:p w14:paraId="3D781F7F" w14:textId="77777777" w:rsidR="00E46D1A" w:rsidRDefault="00E46D1A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</w:p>
    <w:p w14:paraId="1ECCA046" w14:textId="3692EC18" w:rsidR="00166032" w:rsidRPr="00E46D1A" w:rsidRDefault="00166032" w:rsidP="00E46D1A">
      <w:pPr>
        <w:numPr>
          <w:ilvl w:val="0"/>
          <w:numId w:val="21"/>
        </w:numPr>
        <w:shd w:val="clear" w:color="auto" w:fill="FDFDFD"/>
        <w:spacing w:line="360" w:lineRule="auto"/>
        <w:jc w:val="both"/>
        <w:rPr>
          <w:rFonts w:cs="Times New Roman"/>
          <w:b/>
          <w:bCs/>
        </w:rPr>
      </w:pPr>
      <w:r w:rsidRPr="00E46D1A">
        <w:rPr>
          <w:rFonts w:cs="Times New Roman"/>
          <w:b/>
          <w:bCs/>
        </w:rPr>
        <w:t>DOS PEDIDOS</w:t>
      </w:r>
    </w:p>
    <w:p w14:paraId="04A54489" w14:textId="6E221984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Ante o exposto, o MINISTÉRIO PÚBLICO DO ESTADO D</w:t>
      </w:r>
      <w:r w:rsidR="00E46D1A">
        <w:rPr>
          <w:rFonts w:cs="Times New Roman"/>
        </w:rPr>
        <w:t>O CEARÁ</w:t>
      </w:r>
      <w:r w:rsidRPr="00166032">
        <w:rPr>
          <w:rFonts w:cs="Times New Roman"/>
        </w:rPr>
        <w:t xml:space="preserve"> requer:</w:t>
      </w:r>
    </w:p>
    <w:p w14:paraId="5342E7D4" w14:textId="77777777" w:rsidR="00166032" w:rsidRP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a) o recebimento da inicial;</w:t>
      </w:r>
    </w:p>
    <w:p w14:paraId="35C9F52A" w14:textId="1EB2870B" w:rsidR="00166032" w:rsidRP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b) a adoção do procedimento comum, nos termos do disposto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no artigo 19 da Lei 7.347/85 c/c artigo 318 e seguintes do NCPC – Lei 13.105/2015;</w:t>
      </w:r>
    </w:p>
    <w:p w14:paraId="05B25F31" w14:textId="45184DFD" w:rsidR="00166032" w:rsidRP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c) a concessão da tutela provisória de urgência, nos termos do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artigo 300 do CPC, com a dispensa da ouvida da Fazenda Pública Municipal, no prazo de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72 horas, conforme previsto na Lei 8.437/92, em razão da urgência da medida e da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possibilidade do perecimento do direito, caso observada a referida formalidade legal,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consubstanciada:</w:t>
      </w:r>
    </w:p>
    <w:p w14:paraId="260EDF1C" w14:textId="3332CB26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 xml:space="preserve">c.1) na imposição, ao MUNICÍPIO DE </w:t>
      </w:r>
      <w:r w:rsidR="00E46D1A">
        <w:rPr>
          <w:rFonts w:cs="Times New Roman"/>
        </w:rPr>
        <w:t>____________</w:t>
      </w:r>
      <w:r w:rsidRPr="00166032">
        <w:rPr>
          <w:rFonts w:cs="Times New Roman"/>
        </w:rPr>
        <w:t>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da obrigação de fazer de disponibilizar, em site específico (ou aba específica no site oficial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do Município) os dados e informações relativos ao Plano Nacional de Operacionalização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da Vacinação contra a Covid-19, elencados no artigo 14 da MP</w:t>
      </w:r>
      <w:r w:rsidR="00562026">
        <w:rPr>
          <w:rFonts w:cs="Times New Roman"/>
        </w:rPr>
        <w:t xml:space="preserve"> </w:t>
      </w:r>
      <w:r w:rsidRPr="00166032">
        <w:rPr>
          <w:rFonts w:cs="Times New Roman"/>
        </w:rPr>
        <w:t>1026/2021, bem como das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informações relativas ao nome,</w:t>
      </w:r>
      <w:r w:rsidR="00562026">
        <w:rPr>
          <w:rFonts w:cs="Times New Roman"/>
        </w:rPr>
        <w:t xml:space="preserve"> </w:t>
      </w:r>
      <w:r w:rsidRPr="00166032">
        <w:rPr>
          <w:rFonts w:cs="Times New Roman"/>
        </w:rPr>
        <w:t>e grupo prioritário a que pertencem, das pessoas já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vacinadas, data da vacinação, número de lote da vacina aplicada e nome do agente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público responsável pela vacinação, com alimentação diária das informações, a fim de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possibilitar o acompanhamento, em tempo real, pelo cidadão e pelos órgãos de controle,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sob pena de multa diária, a ser aplicada pessoalmente ao Prefeito, autoridade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responsável pelo cumprimento da decisão, no valor de R$ 5.000,00 (cinco mil reais),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conforme autoriza o artigo 297, parágrafo único, c/c 536, § 1º, artigo 77, inciso IV 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artigo 6º, todos do CPC;</w:t>
      </w:r>
    </w:p>
    <w:p w14:paraId="642F6373" w14:textId="072A9268" w:rsidR="00166032" w:rsidRP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d) tendo em vista a natureza da questão controvertida e não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sendo cabível a autocomposição, a citação do réu MUNICÍPIO DE </w:t>
      </w:r>
      <w:r w:rsidR="00E46D1A">
        <w:rPr>
          <w:rFonts w:cs="Times New Roman"/>
        </w:rPr>
        <w:t>______________</w:t>
      </w:r>
      <w:r w:rsidRPr="00166032">
        <w:rPr>
          <w:rFonts w:cs="Times New Roman"/>
        </w:rPr>
        <w:t xml:space="preserve">, na pessoa do Prefeito </w:t>
      </w:r>
      <w:r w:rsidR="00E46D1A">
        <w:rPr>
          <w:rFonts w:cs="Times New Roman"/>
        </w:rPr>
        <w:t>____________</w:t>
      </w:r>
      <w:r w:rsidRPr="00166032">
        <w:rPr>
          <w:rFonts w:cs="Times New Roman"/>
        </w:rPr>
        <w:t xml:space="preserve"> (ou </w:t>
      </w:r>
      <w:r w:rsidRPr="00166032">
        <w:rPr>
          <w:rFonts w:cs="Times New Roman"/>
        </w:rPr>
        <w:lastRenderedPageBreak/>
        <w:t>Procurador-Geral onde houver) para que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conteste o pedido no prazo legal;</w:t>
      </w:r>
    </w:p>
    <w:p w14:paraId="70FFBE19" w14:textId="215054D6" w:rsidR="00166032" w:rsidRP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e) a produção de todas as provas em direito admitidas,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inclusive testemunhal, cujo rol será oportunamente ofertado;</w:t>
      </w:r>
    </w:p>
    <w:p w14:paraId="362C182E" w14:textId="67498394" w:rsid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f) a isenção do pagamento de taxas e emolumentos,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adiantamentos de honorários periciais e quaisquer outras despesas processuais.</w:t>
      </w:r>
    </w:p>
    <w:p w14:paraId="0A49A19B" w14:textId="77777777" w:rsidR="00E46D1A" w:rsidRPr="00166032" w:rsidRDefault="00E46D1A" w:rsidP="00E46D1A">
      <w:pPr>
        <w:shd w:val="clear" w:color="auto" w:fill="FDFDFD"/>
        <w:spacing w:line="360" w:lineRule="auto"/>
        <w:jc w:val="both"/>
        <w:rPr>
          <w:rFonts w:cs="Times New Roman"/>
        </w:rPr>
      </w:pPr>
    </w:p>
    <w:p w14:paraId="5F4BA036" w14:textId="12ADE5D0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Postula, por fim, a PROCEDÊNCIA DO PEDIDO para impor ao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 xml:space="preserve">MUNICÍPIO DE </w:t>
      </w:r>
      <w:r w:rsidR="00E46D1A">
        <w:rPr>
          <w:rFonts w:cs="Times New Roman"/>
        </w:rPr>
        <w:t>__________________</w:t>
      </w:r>
      <w:r w:rsidRPr="00166032">
        <w:rPr>
          <w:rFonts w:cs="Times New Roman"/>
        </w:rPr>
        <w:t>:</w:t>
      </w:r>
    </w:p>
    <w:p w14:paraId="20CC043D" w14:textId="059A81B1" w:rsidR="00166032" w:rsidRDefault="00166032" w:rsidP="00E46D1A">
      <w:pPr>
        <w:shd w:val="clear" w:color="auto" w:fill="FDFDFD"/>
        <w:spacing w:line="360" w:lineRule="auto"/>
        <w:jc w:val="both"/>
        <w:rPr>
          <w:rFonts w:cs="Times New Roman"/>
        </w:rPr>
      </w:pPr>
      <w:r w:rsidRPr="00166032">
        <w:rPr>
          <w:rFonts w:cs="Times New Roman"/>
        </w:rPr>
        <w:t>a) a obrigação de fazer de disponibilizar, em site específico (ou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aba específica no site oficial do Município) os dados e informações relativos ao Plano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Nacional de Operacionalização da Vacinação contra a Covid-19, elencados no artigo 14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da MP1026/2021, bem como das informações relativas ao nome, CPF e grupo prioritário a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que pertencem, das pessoas já vacinadas, data da vacinação, número de lote da vacina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aplicada e nome do agente público responsável pela vacinação, com alimentação diária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das informações, a fim de possibilitar o acompanhamento, em tempo real, pelo cidadão e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pelos órgãos de controle, sob pena de multa diária, a ser aplicada pessoalmente ao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Prefeito, autoridade responsável pelo cumprimento da decisão, no valor de R$ 5.000,00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(cinco mil reais), conforme autoriza o artigo 297, parágrafo único, c/c 536, § 1º, artigo</w:t>
      </w:r>
      <w:r w:rsidR="00E46D1A">
        <w:rPr>
          <w:rFonts w:cs="Times New Roman"/>
        </w:rPr>
        <w:t xml:space="preserve"> </w:t>
      </w:r>
      <w:r w:rsidRPr="00166032">
        <w:rPr>
          <w:rFonts w:cs="Times New Roman"/>
        </w:rPr>
        <w:t>77, inciso IV e artigo 6º, todos do CPC.</w:t>
      </w:r>
    </w:p>
    <w:p w14:paraId="136E114F" w14:textId="77777777" w:rsidR="00E46D1A" w:rsidRPr="00166032" w:rsidRDefault="00E46D1A" w:rsidP="00E46D1A">
      <w:pPr>
        <w:shd w:val="clear" w:color="auto" w:fill="FDFDFD"/>
        <w:spacing w:line="360" w:lineRule="auto"/>
        <w:jc w:val="both"/>
        <w:rPr>
          <w:rFonts w:cs="Times New Roman"/>
        </w:rPr>
      </w:pPr>
    </w:p>
    <w:p w14:paraId="0ED61336" w14:textId="6399A5D8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A presente petição inicial é instruída com documentos</w:t>
      </w:r>
      <w:r w:rsidR="00E46D1A">
        <w:rPr>
          <w:rFonts w:cs="Times New Roman"/>
        </w:rPr>
        <w:t xml:space="preserve"> ________________________</w:t>
      </w:r>
      <w:r w:rsidRPr="00166032">
        <w:rPr>
          <w:rFonts w:cs="Times New Roman"/>
        </w:rPr>
        <w:t>.</w:t>
      </w:r>
    </w:p>
    <w:p w14:paraId="45ABC6C6" w14:textId="77777777" w:rsidR="00166032" w:rsidRPr="00166032" w:rsidRDefault="00166032" w:rsidP="00166032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66032">
        <w:rPr>
          <w:rFonts w:cs="Times New Roman"/>
        </w:rPr>
        <w:t>Dá a causa o valor de R$ 10.000,00 (dez mil reais)</w:t>
      </w:r>
    </w:p>
    <w:p w14:paraId="57BD7F33" w14:textId="77777777" w:rsidR="00562026" w:rsidRDefault="00562026" w:rsidP="00EE2A6B">
      <w:pPr>
        <w:shd w:val="clear" w:color="auto" w:fill="FDFDFD"/>
        <w:spacing w:line="360" w:lineRule="auto"/>
        <w:ind w:firstLine="1701"/>
        <w:jc w:val="both"/>
        <w:rPr>
          <w:rFonts w:cs="Times New Roman"/>
          <w:highlight w:val="yellow"/>
        </w:rPr>
      </w:pPr>
    </w:p>
    <w:p w14:paraId="0B3BFD40" w14:textId="77777777" w:rsidR="00562026" w:rsidRDefault="00562026" w:rsidP="00EE2A6B">
      <w:pPr>
        <w:shd w:val="clear" w:color="auto" w:fill="FDFDFD"/>
        <w:spacing w:line="360" w:lineRule="auto"/>
        <w:ind w:firstLine="1701"/>
        <w:jc w:val="both"/>
        <w:rPr>
          <w:rFonts w:cs="Times New Roman"/>
          <w:highlight w:val="yellow"/>
        </w:rPr>
      </w:pPr>
    </w:p>
    <w:p w14:paraId="3ADCE724" w14:textId="1BC5B84C" w:rsidR="00B74276" w:rsidRDefault="001A6D5D" w:rsidP="00EE2A6B">
      <w:pPr>
        <w:shd w:val="clear" w:color="auto" w:fill="FDFDFD"/>
        <w:spacing w:line="360" w:lineRule="auto"/>
        <w:ind w:firstLine="1701"/>
        <w:jc w:val="both"/>
        <w:rPr>
          <w:rFonts w:cs="Times New Roman"/>
        </w:rPr>
      </w:pPr>
      <w:r w:rsidRPr="001A6D5D">
        <w:rPr>
          <w:rFonts w:cs="Times New Roman"/>
          <w:highlight w:val="yellow"/>
        </w:rPr>
        <w:t>Município, data.</w:t>
      </w:r>
    </w:p>
    <w:p w14:paraId="49C9B2DB" w14:textId="202D42CB" w:rsidR="006A0BD8" w:rsidRPr="006A0BD8" w:rsidRDefault="006A0BD8" w:rsidP="001A6D5D">
      <w:pPr>
        <w:spacing w:line="360" w:lineRule="auto"/>
        <w:rPr>
          <w:rFonts w:cs="Times New Roman"/>
          <w:b/>
          <w:highlight w:val="yellow"/>
        </w:rPr>
      </w:pPr>
    </w:p>
    <w:p w14:paraId="662CCF20" w14:textId="45CF606D" w:rsidR="006A0BD8" w:rsidRPr="00AD1C56" w:rsidRDefault="006A0BD8" w:rsidP="00AD1C56">
      <w:pPr>
        <w:spacing w:line="360" w:lineRule="auto"/>
        <w:jc w:val="center"/>
        <w:rPr>
          <w:rFonts w:cs="Times New Roman"/>
          <w:b/>
        </w:rPr>
      </w:pPr>
      <w:r w:rsidRPr="006A0BD8">
        <w:rPr>
          <w:rFonts w:cs="Times New Roman"/>
          <w:highlight w:val="yellow"/>
        </w:rPr>
        <w:t>Promotor(a) de Justiça.</w:t>
      </w:r>
    </w:p>
    <w:sectPr w:rsidR="006A0BD8" w:rsidRPr="00AD1C56" w:rsidSect="00F36B19">
      <w:headerReference w:type="default" r:id="rId13"/>
      <w:footerReference w:type="default" r:id="rId14"/>
      <w:pgSz w:w="11906" w:h="16838"/>
      <w:pgMar w:top="2694" w:right="1134" w:bottom="1560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EC7E" w14:textId="77777777" w:rsidR="00DF13AE" w:rsidRDefault="00DF13AE">
      <w:pPr>
        <w:spacing w:line="240" w:lineRule="auto"/>
      </w:pPr>
      <w:r>
        <w:separator/>
      </w:r>
    </w:p>
  </w:endnote>
  <w:endnote w:type="continuationSeparator" w:id="0">
    <w:p w14:paraId="1D4A3361" w14:textId="77777777" w:rsidR="00DF13AE" w:rsidRDefault="00DF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A516" w14:textId="77777777" w:rsidR="00166032" w:rsidRDefault="00166032">
    <w:pPr>
      <w:pStyle w:val="Rodap"/>
      <w:rPr>
        <w:rFonts w:cs="Times New Roman"/>
        <w:b/>
        <w:sz w:val="18"/>
        <w:szCs w:val="18"/>
      </w:rPr>
    </w:pPr>
    <w:r>
      <w:pict w14:anchorId="14FA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style="width:482.25pt;height:4.5pt" filled="t">
          <v:fill color2="black"/>
          <v:imagedata r:id="rId1" o:title="" croptop="-409f" cropbottom="-409f" cropleft="-7f" cropright="-7f"/>
        </v:shape>
      </w:pict>
    </w:r>
  </w:p>
  <w:p w14:paraId="2E0D0FF0" w14:textId="77777777" w:rsidR="00166032" w:rsidRDefault="00166032">
    <w:pPr>
      <w:pStyle w:val="Rodap"/>
      <w:spacing w:line="240" w:lineRule="auto"/>
      <w:jc w:val="center"/>
    </w:pPr>
    <w:r>
      <w:rPr>
        <w:rFonts w:cs="Times New Roman"/>
        <w:b/>
        <w:sz w:val="18"/>
        <w:szCs w:val="18"/>
      </w:rPr>
      <w:t>CENTRO DE APOIO OPERACIONAL DA CIDADANIA – CAOCIDADANIA</w:t>
    </w:r>
    <w:r>
      <w:rPr>
        <w:rFonts w:cs="Times New Roman"/>
        <w:sz w:val="18"/>
        <w:szCs w:val="18"/>
      </w:rPr>
      <w:br/>
      <w:t>Avenida Antônio Sales, nº 1740, Bairro: Dionísio Torres – Fortaleza/CE – CEP: 60135-101</w:t>
    </w:r>
  </w:p>
  <w:p w14:paraId="462946F3" w14:textId="77777777" w:rsidR="00166032" w:rsidRDefault="00166032">
    <w:pPr>
      <w:pStyle w:val="Rodap"/>
      <w:spacing w:line="240" w:lineRule="auto"/>
      <w:jc w:val="center"/>
    </w:pPr>
    <w:r>
      <w:rPr>
        <w:rFonts w:cs="Times New Roman"/>
        <w:sz w:val="18"/>
        <w:szCs w:val="18"/>
      </w:rPr>
      <w:t>Contatos: 85 3252-6352 / caocidadania@mpce.mp.br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3EAD" w14:textId="77777777" w:rsidR="00DF13AE" w:rsidRDefault="00DF13AE">
      <w:pPr>
        <w:spacing w:line="240" w:lineRule="auto"/>
      </w:pPr>
      <w:r>
        <w:separator/>
      </w:r>
    </w:p>
  </w:footnote>
  <w:footnote w:type="continuationSeparator" w:id="0">
    <w:p w14:paraId="360F1846" w14:textId="77777777" w:rsidR="00DF13AE" w:rsidRDefault="00DF13AE">
      <w:pPr>
        <w:spacing w:line="240" w:lineRule="auto"/>
      </w:pPr>
      <w:r>
        <w:continuationSeparator/>
      </w:r>
    </w:p>
  </w:footnote>
  <w:footnote w:id="1">
    <w:p w14:paraId="694DACA9" w14:textId="6CA75487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 w:rsidRPr="001715E3">
        <w:rPr>
          <w:rStyle w:val="Refdenotaderodap"/>
          <w:rFonts w:cs="Times New Roman"/>
        </w:rPr>
        <w:footnoteRef/>
      </w:r>
      <w:r w:rsidRPr="001715E3">
        <w:rPr>
          <w:rFonts w:cs="Times New Roman"/>
        </w:rPr>
        <w:t xml:space="preserve"> Disponível em: </w:t>
      </w:r>
      <w:r w:rsidRPr="001715E3">
        <w:rPr>
          <w:rFonts w:eastAsia="Times New Roman" w:cs="Times New Roman"/>
          <w:kern w:val="0"/>
          <w:lang w:eastAsia="pt-BR" w:bidi="ar-SA"/>
        </w:rPr>
        <w:t>&lt;https://www.paho.org/pt/covid19&gt; Acesso em 03.02.2021.</w:t>
      </w:r>
    </w:p>
  </w:footnote>
  <w:footnote w:id="2">
    <w:p w14:paraId="1BFB9B01" w14:textId="1ACF362F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>
        <w:rPr>
          <w:rStyle w:val="Refdenotaderodap"/>
        </w:rPr>
        <w:footnoteRef/>
      </w:r>
      <w:r>
        <w:t xml:space="preserve"> </w:t>
      </w:r>
      <w:r w:rsidRPr="001715E3">
        <w:rPr>
          <w:rFonts w:eastAsia="Times New Roman" w:cs="Times New Roman"/>
          <w:kern w:val="0"/>
          <w:lang w:eastAsia="pt-BR" w:bidi="ar-SA"/>
        </w:rPr>
        <w:t>Disponível em: &lt;https://covid.saude.gov.br/&gt; Acesso em 03.02.2021</w:t>
      </w:r>
    </w:p>
  </w:footnote>
  <w:footnote w:id="3">
    <w:p w14:paraId="1AF0E039" w14:textId="77777777" w:rsidR="00166032" w:rsidRPr="001715E3" w:rsidRDefault="00166032" w:rsidP="001715E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  <w:r w:rsidRPr="001715E3">
        <w:rPr>
          <w:rStyle w:val="Refdenotaderodap"/>
          <w:rFonts w:cs="Times New Roman"/>
          <w:sz w:val="20"/>
          <w:szCs w:val="20"/>
        </w:rPr>
        <w:footnoteRef/>
      </w:r>
      <w:r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eastAsia="Times New Roman" w:cs="Times New Roman"/>
          <w:kern w:val="0"/>
          <w:sz w:val="20"/>
          <w:szCs w:val="20"/>
          <w:lang w:eastAsia="pt-BR" w:bidi="ar-SA"/>
        </w:rPr>
        <w:t>Disponível em: &lt;http://cadernos.ensp.fiocruz.br/csp/artigo/1089/pandemia-por-covid-19-no-brasil-analise-da-demandae-</w:t>
      </w:r>
    </w:p>
    <w:p w14:paraId="3BB15377" w14:textId="48B1A59C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 w:rsidRPr="001715E3">
        <w:rPr>
          <w:rFonts w:eastAsia="Times New Roman" w:cs="Times New Roman"/>
          <w:kern w:val="0"/>
          <w:lang w:eastAsia="pt-BR" w:bidi="ar-SA"/>
        </w:rPr>
        <w:t>da-oferta-de-leitos-hospitalares-e-equipamentos-de-ventilacao-assistida-segundo-diferentes-cenarios&gt; Acesso em: 03.02.2021.</w:t>
      </w:r>
    </w:p>
  </w:footnote>
  <w:footnote w:id="4">
    <w:p w14:paraId="687254E4" w14:textId="77777777" w:rsidR="00166032" w:rsidRPr="001715E3" w:rsidRDefault="00166032" w:rsidP="001715E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  <w:r w:rsidRPr="001715E3">
        <w:rPr>
          <w:rStyle w:val="Refdenotaderodap"/>
          <w:rFonts w:cs="Times New Roman"/>
          <w:sz w:val="20"/>
          <w:szCs w:val="20"/>
        </w:rPr>
        <w:footnoteRef/>
      </w:r>
      <w:r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eastAsia="Times New Roman" w:cs="Times New Roman"/>
          <w:kern w:val="0"/>
          <w:sz w:val="20"/>
          <w:szCs w:val="20"/>
          <w:lang w:eastAsia="pt-BR" w:bidi="ar-SA"/>
        </w:rPr>
        <w:t>Disponível em: &lt;http://www.crfsp.org.br/noticias/11587-alerta-sobre-tratamento-precoce-da-covid-19.html&gt; Acesso em:</w:t>
      </w:r>
    </w:p>
    <w:p w14:paraId="6CF37FF9" w14:textId="62122026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 w:rsidRPr="001715E3">
        <w:rPr>
          <w:rFonts w:eastAsia="Times New Roman" w:cs="Times New Roman"/>
          <w:kern w:val="0"/>
          <w:lang w:eastAsia="pt-BR" w:bidi="ar-SA"/>
        </w:rPr>
        <w:t>03.02.2021.</w:t>
      </w:r>
    </w:p>
  </w:footnote>
  <w:footnote w:id="5">
    <w:p w14:paraId="77804CD7" w14:textId="4D8C6422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 w:rsidRPr="001715E3">
        <w:rPr>
          <w:rStyle w:val="Refdenotaderodap"/>
          <w:rFonts w:cs="Times New Roman"/>
        </w:rPr>
        <w:footnoteRef/>
      </w:r>
      <w:r w:rsidRPr="001715E3">
        <w:rPr>
          <w:rFonts w:cs="Times New Roman"/>
        </w:rPr>
        <w:t xml:space="preserve"> </w:t>
      </w:r>
      <w:r w:rsidRPr="001715E3">
        <w:rPr>
          <w:rFonts w:eastAsia="Times New Roman" w:cs="Times New Roman"/>
          <w:kern w:val="0"/>
          <w:lang w:eastAsia="pt-BR" w:bidi="ar-SA"/>
        </w:rPr>
        <w:t>Disponível em: &lt;</w:t>
      </w:r>
      <w:r w:rsidRPr="001715E3">
        <w:rPr>
          <w:rFonts w:cs="Times New Roman"/>
        </w:rPr>
        <w:t>https://noticias.uol.com.br/colunas/jamil-chade/2020/12/31/vacina-da-pfizer-e-a-1-a-ter-uso-emergencial-aprovado-pela-oms.htm&gt; Acesso em: 03.02.2021.</w:t>
      </w:r>
    </w:p>
  </w:footnote>
  <w:footnote w:id="6">
    <w:p w14:paraId="5935B5C3" w14:textId="486BDC22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>
        <w:rPr>
          <w:rStyle w:val="Refdenotaderodap"/>
        </w:rPr>
        <w:footnoteRef/>
      </w:r>
      <w:r>
        <w:t xml:space="preserve"> </w:t>
      </w:r>
      <w:r w:rsidRPr="001715E3">
        <w:rPr>
          <w:rFonts w:eastAsia="Times New Roman" w:cs="Times New Roman"/>
          <w:kern w:val="0"/>
          <w:lang w:eastAsia="pt-BR" w:bidi="ar-SA"/>
        </w:rPr>
        <w:t xml:space="preserve">Disponível em: &lt; </w:t>
      </w:r>
      <w:hyperlink r:id="rId1" w:history="1">
        <w:r w:rsidRPr="001715E3">
          <w:rPr>
            <w:rStyle w:val="Hyperlink"/>
            <w:rFonts w:eastAsia="Times New Roman" w:cs="Times New Roman"/>
            <w:kern w:val="0"/>
            <w:lang w:eastAsia="pt-BR" w:bidi="ar-SA"/>
          </w:rPr>
          <w:t>https://portal.fiocruz.br/noticia/covid-19-anvisa-autoriza-uso-emergencial-da-vacina-da-fiocruz</w:t>
        </w:r>
      </w:hyperlink>
      <w:r w:rsidRPr="001715E3">
        <w:rPr>
          <w:rFonts w:eastAsia="Times New Roman" w:cs="Times New Roman"/>
          <w:kern w:val="0"/>
          <w:lang w:eastAsia="pt-BR" w:bidi="ar-SA"/>
        </w:rPr>
        <w:t xml:space="preserve">&gt; </w:t>
      </w:r>
      <w:r w:rsidRPr="001715E3">
        <w:rPr>
          <w:rFonts w:cs="Times New Roman"/>
        </w:rPr>
        <w:t>Acesso em: 03.02.2021.</w:t>
      </w:r>
    </w:p>
  </w:footnote>
  <w:footnote w:id="7">
    <w:p w14:paraId="2A71A496" w14:textId="6CE8F0EC" w:rsidR="00166032" w:rsidRPr="001715E3" w:rsidRDefault="00166032" w:rsidP="001715E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  <w:r w:rsidRPr="001715E3">
        <w:rPr>
          <w:rStyle w:val="Refdenotaderodap"/>
          <w:rFonts w:cs="Times New Roman"/>
          <w:sz w:val="20"/>
          <w:szCs w:val="20"/>
        </w:rPr>
        <w:footnoteRef/>
      </w:r>
      <w:r w:rsidRPr="001715E3">
        <w:rPr>
          <w:rFonts w:cs="Times New Roman"/>
          <w:sz w:val="20"/>
          <w:szCs w:val="20"/>
        </w:rPr>
        <w:t xml:space="preserve"> </w:t>
      </w:r>
      <w:r w:rsidRPr="001715E3">
        <w:rPr>
          <w:rFonts w:eastAsia="Times New Roman" w:cs="Times New Roman"/>
          <w:kern w:val="0"/>
          <w:sz w:val="20"/>
          <w:szCs w:val="20"/>
          <w:lang w:eastAsia="pt-BR" w:bidi="ar-SA"/>
        </w:rPr>
        <w:t>Disponível em: &lt; https://www.cnnbrasil.com.br/saude/2021/01/17/dependencia-de-insumos-da-india-echina-</w:t>
      </w:r>
    </w:p>
    <w:p w14:paraId="1249D314" w14:textId="3F6F6F24" w:rsidR="00166032" w:rsidRPr="001715E3" w:rsidRDefault="00166032" w:rsidP="001715E3">
      <w:pPr>
        <w:pStyle w:val="Textodenotaderodap"/>
        <w:jc w:val="both"/>
        <w:rPr>
          <w:rFonts w:cs="Times New Roman"/>
        </w:rPr>
      </w:pPr>
      <w:r w:rsidRPr="001715E3">
        <w:rPr>
          <w:rFonts w:eastAsia="Times New Roman" w:cs="Times New Roman"/>
          <w:kern w:val="0"/>
          <w:lang w:eastAsia="pt-BR" w:bidi="ar-SA"/>
        </w:rPr>
        <w:t xml:space="preserve">e-problema-estrutural-diz-ex-anvisa&gt; </w:t>
      </w:r>
      <w:r w:rsidRPr="001715E3">
        <w:rPr>
          <w:rFonts w:cs="Times New Roman"/>
        </w:rPr>
        <w:t>Acesso em: 03.02.2021.</w:t>
      </w:r>
      <w:r w:rsidRPr="001715E3">
        <w:rPr>
          <w:rFonts w:eastAsia="Times New Roman" w:cs="Times New Roman"/>
          <w:kern w:val="0"/>
          <w:lang w:eastAsia="pt-BR" w:bidi="ar-SA"/>
        </w:rPr>
        <w:t>.</w:t>
      </w:r>
    </w:p>
  </w:footnote>
  <w:footnote w:id="8">
    <w:p w14:paraId="50563925" w14:textId="6825FBAD" w:rsidR="00166032" w:rsidRDefault="00166032" w:rsidP="001715E3">
      <w:pPr>
        <w:pStyle w:val="Textodenotaderodap"/>
        <w:jc w:val="both"/>
      </w:pPr>
      <w:r w:rsidRPr="001715E3">
        <w:rPr>
          <w:rStyle w:val="Refdenotaderodap"/>
          <w:rFonts w:cs="Times New Roman"/>
        </w:rPr>
        <w:footnoteRef/>
      </w:r>
      <w:r>
        <w:rPr>
          <w:rFonts w:eastAsia="Times New Roman" w:cs="Times New Roman"/>
          <w:kern w:val="0"/>
          <w:lang w:eastAsia="pt-BR" w:bidi="ar-SA"/>
        </w:rPr>
        <w:t xml:space="preserve"> </w:t>
      </w:r>
      <w:r w:rsidRPr="001715E3">
        <w:rPr>
          <w:rFonts w:eastAsia="Times New Roman" w:cs="Times New Roman"/>
          <w:kern w:val="0"/>
          <w:lang w:eastAsia="pt-BR" w:bidi="ar-SA"/>
        </w:rPr>
        <w:t>Disponível</w:t>
      </w:r>
      <w:r>
        <w:rPr>
          <w:rFonts w:eastAsia="Times New Roman" w:cs="Times New Roman"/>
          <w:kern w:val="0"/>
          <w:lang w:eastAsia="pt-BR" w:bidi="ar-SA"/>
        </w:rPr>
        <w:t xml:space="preserve"> </w:t>
      </w:r>
      <w:r w:rsidRPr="001715E3">
        <w:rPr>
          <w:rFonts w:eastAsia="Times New Roman" w:cs="Times New Roman"/>
          <w:kern w:val="0"/>
          <w:lang w:eastAsia="pt-BR" w:bidi="ar-SA"/>
        </w:rPr>
        <w:t xml:space="preserve">em: </w:t>
      </w:r>
      <w:r>
        <w:rPr>
          <w:rFonts w:eastAsia="Times New Roman" w:cs="Times New Roman"/>
          <w:kern w:val="0"/>
          <w:lang w:eastAsia="pt-BR" w:bidi="ar-SA"/>
        </w:rPr>
        <w:t>&lt;</w:t>
      </w:r>
      <w:hyperlink r:id="rId2" w:history="1">
        <w:r w:rsidRPr="007A4273">
          <w:rPr>
            <w:rStyle w:val="Hyperlink"/>
            <w:rFonts w:cs="Times New Roman"/>
          </w:rPr>
          <w:t>https://iris.paho.org/bitstream/handle/10665.2/52516/OPASFPLIMCOVID19200014_por.pdf?sequence=1&amp;isAllowed=y</w:t>
        </w:r>
      </w:hyperlink>
      <w:r>
        <w:rPr>
          <w:rFonts w:cs="Times New Roman"/>
        </w:rPr>
        <w:t>&gt;</w:t>
      </w:r>
      <w:r w:rsidRPr="001715E3">
        <w:rPr>
          <w:rFonts w:cs="Times New Roman"/>
        </w:rPr>
        <w:t xml:space="preserve">  Acesso em: 03.02.2021.</w:t>
      </w:r>
    </w:p>
  </w:footnote>
  <w:footnote w:id="9">
    <w:p w14:paraId="3D880EBE" w14:textId="492D0F08" w:rsidR="00166032" w:rsidRDefault="00166032">
      <w:pPr>
        <w:pStyle w:val="Textodenotaderodap"/>
      </w:pPr>
      <w:r>
        <w:rPr>
          <w:rStyle w:val="Refdenotaderodap"/>
        </w:rPr>
        <w:footnoteRef/>
      </w:r>
      <w:r>
        <w:t xml:space="preserve"> Disponível em? &lt;</w:t>
      </w:r>
      <w:r w:rsidRPr="00462D47">
        <w:t xml:space="preserve"> </w:t>
      </w:r>
      <w:hyperlink r:id="rId3" w:history="1">
        <w:r w:rsidRPr="00E60EE9">
          <w:rPr>
            <w:rStyle w:val="Hyperlink"/>
          </w:rPr>
          <w:t>https://www.saude.ce.gov.br/wp-content/uploads/sites/9/2020/02/plano_operacionalizacao_vacina_20212101_v4.pdf</w:t>
        </w:r>
      </w:hyperlink>
      <w:r>
        <w:t>&gt; Acesso em 03.02.2021</w:t>
      </w:r>
    </w:p>
  </w:footnote>
  <w:footnote w:id="10">
    <w:p w14:paraId="24113FD1" w14:textId="52464A4D" w:rsidR="00166032" w:rsidRDefault="00166032" w:rsidP="008222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7E3B62">
          <w:rPr>
            <w:rStyle w:val="Hyperlink"/>
            <w:rFonts w:ascii="Liberation Serif" w:hAnsi="Liberation Serif"/>
          </w:rPr>
          <w:t>https://g1.globo.com/ce/ceara/noticia/2021/01/20/ministerio-publico-apura-se-gestores-municipais-furaram-a-fila-da-vacina-contra-covid-19-no-ceara.ghtml</w:t>
        </w:r>
      </w:hyperlink>
      <w:r>
        <w:rPr>
          <w:rStyle w:val="Hyperlink"/>
          <w:rFonts w:ascii="Liberation Serif" w:hAnsi="Liberation Serif"/>
        </w:rPr>
        <w:br/>
      </w:r>
      <w:hyperlink r:id="rId5" w:history="1">
        <w:r w:rsidRPr="007E3B62">
          <w:rPr>
            <w:rStyle w:val="Hyperlink"/>
            <w:rFonts w:ascii="Liberation Serif" w:hAnsi="Liberation Serif"/>
          </w:rPr>
          <w:t>https://diariodonordeste.verdesmares.com.br/politica/mpf-apura-denuncias-de-fura-filas-da-vacinacao-contra-a-covid-19-na-grande-fortaleza-1.3037054</w:t>
        </w:r>
      </w:hyperlink>
      <w:r w:rsidRPr="007E3B62">
        <w:rPr>
          <w:rFonts w:ascii="Liberation Serif" w:hAnsi="Liberation Serif"/>
          <w:color w:val="000000"/>
        </w:rPr>
        <w:t xml:space="preserve">  </w:t>
      </w:r>
    </w:p>
  </w:footnote>
  <w:footnote w:id="11">
    <w:p w14:paraId="2A84EB1D" w14:textId="292581C7" w:rsidR="00166032" w:rsidRDefault="00166032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6" w:history="1">
        <w:r w:rsidRPr="00B51035">
          <w:rPr>
            <w:rStyle w:val="Hyperlink"/>
          </w:rPr>
          <w:t>https://www.in.gov.br/en/web/dou/-/medida-provisoria-n-1.026-de-6-de-janeiro-de-2021-297929846#:~:text=Disp%C3%B5e%20sobre%20as%20medidas%20excepcionais,da%20Vacina%C3%A7%C3%A3o%20contra%20aCovid%2D19</w:t>
        </w:r>
      </w:hyperlink>
      <w:r w:rsidRPr="00072061">
        <w:t>.</w:t>
      </w:r>
      <w:r>
        <w:t xml:space="preserve"> Acesso em 04.02.2021</w:t>
      </w:r>
    </w:p>
  </w:footnote>
  <w:footnote w:id="12">
    <w:p w14:paraId="62F63852" w14:textId="75359046" w:rsidR="00684EFC" w:rsidRDefault="00684EFC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7" w:history="1">
        <w:r w:rsidRPr="00B51035">
          <w:rPr>
            <w:rStyle w:val="Hyperlink"/>
          </w:rPr>
          <w:t>https://portal.trf1.jus.br/sjam/comunicacao-social/imprensa/noticias/decisoes-e-despachos-da-1-vara-federal-relativos-as-vacinas-contra-a-covid-19.htm</w:t>
        </w:r>
      </w:hyperlink>
      <w:r>
        <w:t xml:space="preserve"> Acesso em: 05.02.2021</w:t>
      </w:r>
    </w:p>
  </w:footnote>
  <w:footnote w:id="13">
    <w:p w14:paraId="3935D32D" w14:textId="318DDCA4" w:rsidR="00684EFC" w:rsidRPr="00684EFC" w:rsidRDefault="00684EFC" w:rsidP="00684EFC">
      <w:pPr>
        <w:shd w:val="clear" w:color="auto" w:fill="FDFDFD"/>
        <w:spacing w:line="240" w:lineRule="auto"/>
        <w:jc w:val="both"/>
        <w:rPr>
          <w:rFonts w:cs="Times New Roman"/>
          <w:sz w:val="20"/>
          <w:szCs w:val="20"/>
        </w:rPr>
      </w:pPr>
      <w:r>
        <w:rPr>
          <w:rStyle w:val="Refdenotaderodap"/>
        </w:rPr>
        <w:footnoteRef/>
      </w:r>
      <w:r w:rsidRPr="00684EFC">
        <w:rPr>
          <w:rFonts w:cs="Times New Roman"/>
          <w:sz w:val="20"/>
          <w:szCs w:val="20"/>
        </w:rPr>
        <w:t>ADMINISTRATIVO. PROCESSUAL CIVIL. AÇÃO CIVIL PÚBLICA. LIMINAR CONCEDIDA,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EXCEPCIONALMENTE, SEM OITIVA PRÉVIA DA PESSOA JURÍDICA DE DIREITO PÚBLICO. ART. 2º DA LEI N.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8.437/1992. POSSIBILIDADE.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SÚMULA 83/STJ.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1. Cinge-se a controvérsia dos autos se é possível a concessão de liminar, sem oitiva prévia do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município, nos casos de ação civil pública.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2. O entendimento jurisprudencial do Superior Tribunal de Justiça permite, excepcionalmente, em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especial para resguardar bens maiores, a possibilidade de concessão de liminar, sem prévia oitiva da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pessoa jurídica de direito público, quando presentes os requisitos legais para a concessão de medida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liminar em ação civil pública.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Precedentes. AgRg no REsp 1.372.950/PB, Rel. Min. HUMBERTO MARTINS, SEGUNDA TURMA; AgRg no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Ag 1.314.453/RS, Rel. Min. HERMAN BENJAMIN, SEGUNDA TURMA;REsp 1.018.614/PR, Rel. Min. ELIANA</w:t>
      </w:r>
      <w:r w:rsidRPr="00684EFC"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CALMON, SEGUNDA TURMA; REsp 439.833/SP, Rel. Min. DENISE ARRUDA, PRIMEIRA TURMA.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3. A iterativa jurisprudência desta Corte é no sentido de que, para analisar os critérios adotados pela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instância ordinária que ensejaram a concessão ou não da liminar ou da antecipação dos efeitos da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tutela, é necessário o reexame dos elementos probatórios, o que não é possível em recurso especial,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dado o óbice da Súmula 7 desta Corte.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Agravo regimental improvido.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(AgRg no AREsp 580.269/SE, Rel. Ministro HUMBERTO MARTINS, SEGUNDA TURMA, julgado em</w:t>
      </w:r>
      <w:r>
        <w:rPr>
          <w:rFonts w:cs="Times New Roman"/>
          <w:sz w:val="20"/>
          <w:szCs w:val="20"/>
        </w:rPr>
        <w:t xml:space="preserve"> </w:t>
      </w:r>
      <w:r w:rsidRPr="00684EFC">
        <w:rPr>
          <w:rFonts w:cs="Times New Roman"/>
          <w:sz w:val="20"/>
          <w:szCs w:val="20"/>
        </w:rPr>
        <w:t>06/11/2014, DJe 17/11/2014)</w:t>
      </w:r>
    </w:p>
    <w:p w14:paraId="363C708F" w14:textId="60F348ED" w:rsidR="00684EFC" w:rsidRDefault="00684EF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99F" w14:textId="227913D0" w:rsidR="00166032" w:rsidRDefault="00166032" w:rsidP="0009291F">
    <w:pPr>
      <w:pStyle w:val="Corpodetexto"/>
      <w:spacing w:line="240" w:lineRule="auto"/>
      <w:jc w:val="center"/>
    </w:pPr>
    <w:r>
      <w:pict w14:anchorId="693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457.5pt;height:42pt" filled="t">
          <v:fill opacity="0" color2="black"/>
          <v:imagedata r:id="rId1" o:title="" croptop="-85f" cropbottom="-85f" cropleft="-7f" cropright="-7f"/>
        </v:shape>
      </w:pict>
    </w:r>
    <w:r>
      <w:rPr>
        <w:rFonts w:cs="Times New Roman"/>
        <w:b/>
      </w:rPr>
      <w:t>CENTRO DE APOIO OPERACIONAL DA CIDADANIA – CAOCIDADANIA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91BF4"/>
    <w:multiLevelType w:val="multilevel"/>
    <w:tmpl w:val="17B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47247"/>
    <w:multiLevelType w:val="multilevel"/>
    <w:tmpl w:val="C4768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DE50382"/>
    <w:multiLevelType w:val="multilevel"/>
    <w:tmpl w:val="6C461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3476C6"/>
    <w:multiLevelType w:val="multilevel"/>
    <w:tmpl w:val="B84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519E9"/>
    <w:multiLevelType w:val="hybridMultilevel"/>
    <w:tmpl w:val="1A188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5585"/>
    <w:multiLevelType w:val="hybridMultilevel"/>
    <w:tmpl w:val="3C748338"/>
    <w:lvl w:ilvl="0" w:tplc="D62E2C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64B116A"/>
    <w:multiLevelType w:val="multilevel"/>
    <w:tmpl w:val="6C1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D2818"/>
    <w:multiLevelType w:val="multilevel"/>
    <w:tmpl w:val="B63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C346E1"/>
    <w:multiLevelType w:val="multilevel"/>
    <w:tmpl w:val="D6C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FE0084"/>
    <w:multiLevelType w:val="hybridMultilevel"/>
    <w:tmpl w:val="0B784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66A"/>
    <w:multiLevelType w:val="multilevel"/>
    <w:tmpl w:val="2C9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770C18"/>
    <w:multiLevelType w:val="multilevel"/>
    <w:tmpl w:val="62F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D35A6F"/>
    <w:multiLevelType w:val="hybridMultilevel"/>
    <w:tmpl w:val="3BC8CB82"/>
    <w:lvl w:ilvl="0" w:tplc="032294E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4D1403"/>
    <w:multiLevelType w:val="hybridMultilevel"/>
    <w:tmpl w:val="B6402DF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904CAC"/>
    <w:multiLevelType w:val="hybridMultilevel"/>
    <w:tmpl w:val="342E2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5637"/>
    <w:multiLevelType w:val="multilevel"/>
    <w:tmpl w:val="38C657EC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 w15:restartNumberingAfterBreak="0">
    <w:nsid w:val="62EC31D4"/>
    <w:multiLevelType w:val="multilevel"/>
    <w:tmpl w:val="A91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F51FBB"/>
    <w:multiLevelType w:val="hybridMultilevel"/>
    <w:tmpl w:val="476EA6D0"/>
    <w:lvl w:ilvl="0" w:tplc="D2D4AE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18E2"/>
    <w:multiLevelType w:val="hybridMultilevel"/>
    <w:tmpl w:val="020038A4"/>
    <w:lvl w:ilvl="0" w:tplc="B16866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291731"/>
    <w:multiLevelType w:val="multilevel"/>
    <w:tmpl w:val="E38886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1"/>
  </w:num>
  <w:num w:numId="11">
    <w:abstractNumId w:val="16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5"/>
  </w:num>
  <w:num w:numId="17">
    <w:abstractNumId w:val="3"/>
  </w:num>
  <w:num w:numId="18">
    <w:abstractNumId w:val="6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0D3"/>
    <w:rsid w:val="00050C58"/>
    <w:rsid w:val="00072061"/>
    <w:rsid w:val="000774D3"/>
    <w:rsid w:val="0009291F"/>
    <w:rsid w:val="000C5911"/>
    <w:rsid w:val="000E3254"/>
    <w:rsid w:val="00166032"/>
    <w:rsid w:val="001715E3"/>
    <w:rsid w:val="001A6D5D"/>
    <w:rsid w:val="001C07AE"/>
    <w:rsid w:val="0020639E"/>
    <w:rsid w:val="0023333B"/>
    <w:rsid w:val="00260480"/>
    <w:rsid w:val="00280FA8"/>
    <w:rsid w:val="00292AFE"/>
    <w:rsid w:val="002A73F9"/>
    <w:rsid w:val="002C3B2E"/>
    <w:rsid w:val="002D19CA"/>
    <w:rsid w:val="00362DDB"/>
    <w:rsid w:val="00367217"/>
    <w:rsid w:val="00394DCE"/>
    <w:rsid w:val="003B68A4"/>
    <w:rsid w:val="003C02D4"/>
    <w:rsid w:val="003C41AB"/>
    <w:rsid w:val="003F61B0"/>
    <w:rsid w:val="004307D7"/>
    <w:rsid w:val="00433C19"/>
    <w:rsid w:val="00462D47"/>
    <w:rsid w:val="004732AE"/>
    <w:rsid w:val="004840D3"/>
    <w:rsid w:val="004A0806"/>
    <w:rsid w:val="004B364B"/>
    <w:rsid w:val="004C1FB4"/>
    <w:rsid w:val="00543C77"/>
    <w:rsid w:val="00544488"/>
    <w:rsid w:val="00544E79"/>
    <w:rsid w:val="00562026"/>
    <w:rsid w:val="00562370"/>
    <w:rsid w:val="005740F6"/>
    <w:rsid w:val="005D6162"/>
    <w:rsid w:val="005E4379"/>
    <w:rsid w:val="006235BD"/>
    <w:rsid w:val="00627BF0"/>
    <w:rsid w:val="00684EFC"/>
    <w:rsid w:val="00695AD8"/>
    <w:rsid w:val="006A0BD8"/>
    <w:rsid w:val="006E4A89"/>
    <w:rsid w:val="00767465"/>
    <w:rsid w:val="007E0D74"/>
    <w:rsid w:val="007F5FBD"/>
    <w:rsid w:val="0081404B"/>
    <w:rsid w:val="008147C6"/>
    <w:rsid w:val="0082228B"/>
    <w:rsid w:val="00834F1B"/>
    <w:rsid w:val="00850CB6"/>
    <w:rsid w:val="008B7FAF"/>
    <w:rsid w:val="008D1A5D"/>
    <w:rsid w:val="008F422E"/>
    <w:rsid w:val="009215B6"/>
    <w:rsid w:val="00930C6F"/>
    <w:rsid w:val="009406AB"/>
    <w:rsid w:val="009B4D6D"/>
    <w:rsid w:val="009F4D37"/>
    <w:rsid w:val="00A22541"/>
    <w:rsid w:val="00A548C1"/>
    <w:rsid w:val="00A6603C"/>
    <w:rsid w:val="00AA2156"/>
    <w:rsid w:val="00AA3DFE"/>
    <w:rsid w:val="00AB4372"/>
    <w:rsid w:val="00AC436F"/>
    <w:rsid w:val="00AC49CE"/>
    <w:rsid w:val="00AD1C56"/>
    <w:rsid w:val="00B1296C"/>
    <w:rsid w:val="00B24146"/>
    <w:rsid w:val="00B74276"/>
    <w:rsid w:val="00B80FCD"/>
    <w:rsid w:val="00BB7447"/>
    <w:rsid w:val="00C242C7"/>
    <w:rsid w:val="00C615E7"/>
    <w:rsid w:val="00C62962"/>
    <w:rsid w:val="00C76D30"/>
    <w:rsid w:val="00CA4FDC"/>
    <w:rsid w:val="00CF3DEF"/>
    <w:rsid w:val="00D000A7"/>
    <w:rsid w:val="00DD4842"/>
    <w:rsid w:val="00DF13AE"/>
    <w:rsid w:val="00E42FA9"/>
    <w:rsid w:val="00E46D1A"/>
    <w:rsid w:val="00EE2A6B"/>
    <w:rsid w:val="00F0546C"/>
    <w:rsid w:val="00F36B19"/>
    <w:rsid w:val="00F47814"/>
    <w:rsid w:val="00F9553B"/>
    <w:rsid w:val="00FB1421"/>
    <w:rsid w:val="00FB7A8A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1D65F3"/>
  <w15:chartTrackingRefBased/>
  <w15:docId w15:val="{3C480BDF-C071-41E7-AB5A-6326DBF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10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normaltextrunscx168548192">
    <w:name w:val="normaltextrun scx168548192"/>
    <w:basedOn w:val="Fontepargpadro10"/>
  </w:style>
  <w:style w:type="character" w:customStyle="1" w:styleId="spellingerrorscx168548192">
    <w:name w:val="spellingerror scx168548192"/>
    <w:basedOn w:val="Fontepargpadro10"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954F72"/>
      <w:u w:val="single"/>
    </w:rPr>
  </w:style>
  <w:style w:type="character" w:styleId="Refdenotaderodap">
    <w:name w:val="footnote reference"/>
    <w:uiPriority w:val="99"/>
    <w:rPr>
      <w:vertAlign w:val="superscript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lang w:val="x-none"/>
    </w:rPr>
  </w:style>
  <w:style w:type="paragraph" w:customStyle="1" w:styleId="paragraphscx168548192">
    <w:name w:val="paragraph scx16854819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notaderodap">
    <w:name w:val="footnote text"/>
    <w:aliases w:val=" Char, Char Char Char,Char,Char Char Char,Char Char,Char Char Char Char,Texto de nota de rodapé1"/>
    <w:basedOn w:val="Normal"/>
    <w:link w:val="TextodenotaderodapChar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paragraph">
    <w:name w:val="paragraph"/>
    <w:basedOn w:val="Normal"/>
    <w:rsid w:val="00394DC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normaltextrun">
    <w:name w:val="normaltextrun"/>
    <w:rsid w:val="00394DCE"/>
  </w:style>
  <w:style w:type="character" w:customStyle="1" w:styleId="eop">
    <w:name w:val="eop"/>
    <w:rsid w:val="00394DCE"/>
  </w:style>
  <w:style w:type="character" w:customStyle="1" w:styleId="spellingerror">
    <w:name w:val="spellingerror"/>
    <w:rsid w:val="00394DCE"/>
  </w:style>
  <w:style w:type="paragraph" w:styleId="Citao">
    <w:name w:val="Quote"/>
    <w:basedOn w:val="Normal"/>
    <w:next w:val="Normal"/>
    <w:link w:val="CitaoChar"/>
    <w:uiPriority w:val="29"/>
    <w:qFormat/>
    <w:rsid w:val="006A0BD8"/>
    <w:pPr>
      <w:widowControl/>
      <w:suppressAutoHyphens w:val="0"/>
      <w:autoSpaceDE w:val="0"/>
      <w:autoSpaceDN w:val="0"/>
      <w:spacing w:line="240" w:lineRule="auto"/>
      <w:ind w:left="2268"/>
      <w:jc w:val="both"/>
      <w:textAlignment w:val="auto"/>
    </w:pPr>
    <w:rPr>
      <w:rFonts w:eastAsia="Times New Roman" w:cs="Times New Roman"/>
      <w:iCs/>
      <w:color w:val="000000"/>
      <w:kern w:val="0"/>
      <w:sz w:val="20"/>
      <w:szCs w:val="20"/>
      <w:lang w:val="x-none" w:eastAsia="x-none" w:bidi="ar-SA"/>
    </w:rPr>
  </w:style>
  <w:style w:type="character" w:customStyle="1" w:styleId="CitaoChar">
    <w:name w:val="Citação Char"/>
    <w:link w:val="Citao"/>
    <w:uiPriority w:val="29"/>
    <w:rsid w:val="006A0BD8"/>
    <w:rPr>
      <w:iCs/>
      <w:color w:val="000000"/>
      <w:lang w:val="x-none" w:eastAsia="x-none"/>
    </w:rPr>
  </w:style>
  <w:style w:type="character" w:customStyle="1" w:styleId="TextodenotaderodapChar">
    <w:name w:val="Texto de nota de rodapé Char"/>
    <w:aliases w:val=" Char Char, Char Char Char Char,Char Char1,Char Char Char Char1,Char Char Char1,Char Char Char Char Char,Texto de nota de rodapé1 Char"/>
    <w:link w:val="Textodenotaderodap"/>
    <w:uiPriority w:val="99"/>
    <w:rsid w:val="006A0BD8"/>
    <w:rPr>
      <w:rFonts w:eastAsia="SimSun" w:cs="Mangal"/>
      <w:kern w:val="2"/>
      <w:lang w:eastAsia="zh-CN" w:bidi="hi-IN"/>
    </w:rPr>
  </w:style>
  <w:style w:type="paragraph" w:customStyle="1" w:styleId="western">
    <w:name w:val="western"/>
    <w:basedOn w:val="Normal"/>
    <w:uiPriority w:val="99"/>
    <w:rsid w:val="006A0BD8"/>
    <w:pPr>
      <w:widowControl/>
      <w:suppressAutoHyphens w:val="0"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sdfootnote-western">
    <w:name w:val="sdfootnote-western"/>
    <w:basedOn w:val="Normal"/>
    <w:uiPriority w:val="99"/>
    <w:semiHidden/>
    <w:rsid w:val="006A0BD8"/>
    <w:pPr>
      <w:widowControl/>
      <w:suppressAutoHyphens w:val="0"/>
      <w:spacing w:before="100" w:beforeAutospacing="1" w:line="240" w:lineRule="auto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NormalWeb">
    <w:name w:val="Normal (Web)"/>
    <w:basedOn w:val="Normal"/>
    <w:uiPriority w:val="99"/>
    <w:unhideWhenUsed/>
    <w:rsid w:val="006A0B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6A0BD8"/>
    <w:pPr>
      <w:jc w:val="both"/>
    </w:pPr>
    <w:rPr>
      <w:rFonts w:ascii="DejaVu Sans Light" w:hAnsi="DejaVu Sans Light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A0BD8"/>
    <w:pPr>
      <w:widowControl/>
      <w:suppressAutoHyphens w:val="0"/>
      <w:spacing w:line="240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en-US" w:bidi="ar-SA"/>
    </w:rPr>
  </w:style>
  <w:style w:type="paragraph" w:customStyle="1" w:styleId="authors">
    <w:name w:val="authors"/>
    <w:basedOn w:val="Normal"/>
    <w:rsid w:val="006A0B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pontituloarticulo">
    <w:name w:val="pontituloarticulo"/>
    <w:rsid w:val="006A0BD8"/>
  </w:style>
  <w:style w:type="character" w:customStyle="1" w:styleId="Normal1">
    <w:name w:val="Normal1"/>
    <w:rsid w:val="006A0BD8"/>
  </w:style>
  <w:style w:type="character" w:customStyle="1" w:styleId="negrita">
    <w:name w:val="negrita"/>
    <w:rsid w:val="006A0BD8"/>
  </w:style>
  <w:style w:type="character" w:styleId="MenoPendente">
    <w:name w:val="Unresolved Mention"/>
    <w:uiPriority w:val="99"/>
    <w:semiHidden/>
    <w:unhideWhenUsed/>
    <w:rsid w:val="004B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ude.ce.gov.br/wp-content/uploads/sites/9/2020/02/plano_operacionalizacao_vacina_20212101_v4.pdf" TargetMode="External"/><Relationship Id="rId7" Type="http://schemas.openxmlformats.org/officeDocument/2006/relationships/hyperlink" Target="https://portal.trf1.jus.br/sjam/comunicacao-social/imprensa/noticias/decisoes-e-despachos-da-1-vara-federal-relativos-as-vacinas-contra-a-covid-19.htm" TargetMode="External"/><Relationship Id="rId2" Type="http://schemas.openxmlformats.org/officeDocument/2006/relationships/hyperlink" Target="https://iris.paho.org/bitstream/handle/10665.2/52516/OPASFPLIMCOVID19200014_por.pdf?sequence=1&amp;isAllowed=y" TargetMode="External"/><Relationship Id="rId1" Type="http://schemas.openxmlformats.org/officeDocument/2006/relationships/hyperlink" Target="https://portal.fiocruz.br/noticia/covid-19-anvisa-autoriza-uso-emergencial-da-vacina-da-fiocruz" TargetMode="External"/><Relationship Id="rId6" Type="http://schemas.openxmlformats.org/officeDocument/2006/relationships/hyperlink" Target="https://www.in.gov.br/en/web/dou/-/medida-provisoria-n-1.026-de-6-de-janeiro-de-2021-297929846#:~:text=Disp%C3%B5e%20sobre%20as%20medidas%20excepcionais,da%20Vacina%C3%A7%C3%A3o%20contra%20aCovid%2D19" TargetMode="External"/><Relationship Id="rId5" Type="http://schemas.openxmlformats.org/officeDocument/2006/relationships/hyperlink" Target="https://diariodonordeste.verdesmares.com.br/politica/mpf-apura-denuncias-de-fura-filas-da-vacinacao-contra-a-covid-19-na-grande-fortaleza-1.3037054" TargetMode="External"/><Relationship Id="rId4" Type="http://schemas.openxmlformats.org/officeDocument/2006/relationships/hyperlink" Target="https://g1.globo.com/ce/ceara/noticia/2021/01/20/ministerio-publico-apura-se-gestores-municipais-furaram-a-fila-da-vacina-contra-covid-19-no-ceara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9" ma:contentTypeDescription="Crie um novo documento." ma:contentTypeScope="" ma:versionID="548b756687f12dfbcd86f1fce105f88b">
  <xsd:schema xmlns:xsd="http://www.w3.org/2001/XMLSchema" xmlns:xs="http://www.w3.org/2001/XMLSchema" xmlns:p="http://schemas.microsoft.com/office/2006/metadata/properties" xmlns:ns2="2ab43680-45a3-4f42-b7ea-416280960052" targetNamespace="http://schemas.microsoft.com/office/2006/metadata/properties" ma:root="true" ma:fieldsID="6004fb09e632e1be0e4e99a1103b499b" ns2:_="">
    <xsd:import namespace="2ab43680-45a3-4f42-b7ea-41628096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A965-8B0A-467A-A644-11C9DC520D6F}"/>
</file>

<file path=customXml/itemProps2.xml><?xml version="1.0" encoding="utf-8"?>
<ds:datastoreItem xmlns:ds="http://schemas.openxmlformats.org/officeDocument/2006/customXml" ds:itemID="{3766C241-3DD1-41CB-AD58-8B7B1C8B0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12408-D3E7-4141-A6D2-2DB4729FD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383AE-2D58-4A2F-ACF7-1BCA6E37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6682</Words>
  <Characters>36089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42686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Nairim Tatiane Lima Chaves</cp:lastModifiedBy>
  <cp:revision>6</cp:revision>
  <cp:lastPrinted>2019-02-05T12:11:00Z</cp:lastPrinted>
  <dcterms:created xsi:type="dcterms:W3CDTF">2021-02-05T13:40:00Z</dcterms:created>
  <dcterms:modified xsi:type="dcterms:W3CDTF">2021-02-05T16:06:00Z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544400</vt:r8>
  </property>
  <property fmtid="{D5CDD505-2E9C-101B-9397-08002B2CF9AE}" pid="3" name="display_urn:schemas-microsoft-com:office:office#Author">
    <vt:lpwstr>Roberto Bruno Pereira Silva</vt:lpwstr>
  </property>
  <property fmtid="{D5CDD505-2E9C-101B-9397-08002B2CF9AE}" pid="4" name="display_urn:schemas-microsoft-com:office:office#Editor">
    <vt:lpwstr>Roberto Bruno Pereira Silva</vt:lpwstr>
  </property>
  <property fmtid="{D5CDD505-2E9C-101B-9397-08002B2CF9AE}" pid="5" name="ContentTypeId">
    <vt:lpwstr>0x010100BA6B3270C43598489DE42F682EBF567F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