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41C6D" w14:textId="77777777" w:rsidR="00B87C13" w:rsidRDefault="00942C38">
      <w:pPr>
        <w:spacing w:after="57" w:line="360" w:lineRule="auto"/>
        <w:ind w:left="400"/>
        <w:jc w:val="center"/>
      </w:pPr>
      <w:r>
        <w:rPr>
          <w:rFonts w:cs="Times New Roman"/>
          <w:b/>
        </w:rPr>
        <w:t>RECOMENDAÇÃO Nº ____/202</w:t>
      </w:r>
      <w:r w:rsidR="002F2380">
        <w:rPr>
          <w:rFonts w:cs="Times New Roman"/>
          <w:b/>
        </w:rPr>
        <w:t>1</w:t>
      </w:r>
    </w:p>
    <w:p w14:paraId="58BD3C29" w14:textId="77777777" w:rsidR="00706E1E" w:rsidRDefault="00706E1E">
      <w:pPr>
        <w:spacing w:after="57" w:line="360" w:lineRule="auto"/>
        <w:jc w:val="both"/>
        <w:rPr>
          <w:rFonts w:cs="Times New Roman"/>
          <w:b/>
        </w:rPr>
      </w:pPr>
    </w:p>
    <w:p w14:paraId="6084D841" w14:textId="4BF2DF04" w:rsidR="009E138D" w:rsidRPr="00060FBE" w:rsidRDefault="00942C38" w:rsidP="00E71679">
      <w:pPr>
        <w:spacing w:line="24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/>
        </w:rPr>
        <w:t xml:space="preserve">Objeto: </w:t>
      </w:r>
      <w:r w:rsidR="00060FBE" w:rsidRPr="00060FBE">
        <w:rPr>
          <w:rFonts w:cs="Times New Roman"/>
          <w:bCs/>
        </w:rPr>
        <w:t xml:space="preserve">Recomendar </w:t>
      </w:r>
      <w:r w:rsidR="00DD63B2">
        <w:rPr>
          <w:rFonts w:cs="Times New Roman"/>
          <w:bCs/>
        </w:rPr>
        <w:t>às Farmácias e Laboratórios</w:t>
      </w:r>
      <w:r w:rsidR="00060FBE" w:rsidRPr="00060FBE">
        <w:rPr>
          <w:rFonts w:cs="Times New Roman"/>
          <w:bCs/>
        </w:rPr>
        <w:t xml:space="preserve"> </w:t>
      </w:r>
      <w:r w:rsidR="000C2F7A" w:rsidRPr="00060FBE">
        <w:rPr>
          <w:rFonts w:cs="Times New Roman"/>
          <w:bCs/>
        </w:rPr>
        <w:t xml:space="preserve">que </w:t>
      </w:r>
      <w:r w:rsidR="000C2F7A">
        <w:rPr>
          <w:rFonts w:cs="Times New Roman"/>
          <w:bCs/>
        </w:rPr>
        <w:t xml:space="preserve">realizam testes de COVID-19 </w:t>
      </w:r>
      <w:r w:rsidR="00060FBE" w:rsidRPr="00060FBE">
        <w:rPr>
          <w:rFonts w:cs="Times New Roman"/>
          <w:bCs/>
        </w:rPr>
        <w:t xml:space="preserve">do Município de </w:t>
      </w:r>
      <w:r w:rsidR="00060FBE">
        <w:rPr>
          <w:rFonts w:cs="Times New Roman"/>
          <w:bCs/>
        </w:rPr>
        <w:t>___________</w:t>
      </w:r>
      <w:r w:rsidR="00060FBE" w:rsidRPr="00060FBE">
        <w:rPr>
          <w:rFonts w:cs="Times New Roman"/>
          <w:bCs/>
        </w:rPr>
        <w:t xml:space="preserve"> adotem as providências necessárias para </w:t>
      </w:r>
      <w:r w:rsidR="007E4717">
        <w:rPr>
          <w:rFonts w:cs="Times New Roman"/>
          <w:bCs/>
        </w:rPr>
        <w:t xml:space="preserve">cumprimento das normas técnicas sanitárias, </w:t>
      </w:r>
      <w:r w:rsidR="008D0167">
        <w:rPr>
          <w:rFonts w:cs="Times New Roman"/>
          <w:bCs/>
        </w:rPr>
        <w:t>especialmente quanto ao</w:t>
      </w:r>
      <w:r w:rsidR="007E4717">
        <w:rPr>
          <w:rFonts w:cs="Times New Roman"/>
          <w:bCs/>
        </w:rPr>
        <w:t xml:space="preserve"> atendimento </w:t>
      </w:r>
      <w:r w:rsidR="002359CA">
        <w:rPr>
          <w:rFonts w:cs="Times New Roman"/>
          <w:bCs/>
        </w:rPr>
        <w:t xml:space="preserve">prioritário e </w:t>
      </w:r>
      <w:r w:rsidR="007E4717">
        <w:rPr>
          <w:rFonts w:cs="Times New Roman"/>
          <w:bCs/>
        </w:rPr>
        <w:t>em separado dos clientes que vão realizar teste para detecção do novo coronavírus (</w:t>
      </w:r>
      <w:r w:rsidR="007E4717">
        <w:t>SARS-CoV-2), dos demais clientes dos estabelecimentos</w:t>
      </w:r>
    </w:p>
    <w:p w14:paraId="1F1907F6" w14:textId="69836D35" w:rsidR="00B6213F" w:rsidRDefault="00B6213F" w:rsidP="00066351">
      <w:pPr>
        <w:spacing w:after="57" w:line="360" w:lineRule="auto"/>
        <w:jc w:val="both"/>
        <w:rPr>
          <w:rFonts w:cs="Times New Roman"/>
          <w:color w:val="000000"/>
        </w:rPr>
      </w:pPr>
    </w:p>
    <w:p w14:paraId="47376201" w14:textId="77777777" w:rsidR="007B6229" w:rsidRDefault="007B6229" w:rsidP="00C30646">
      <w:pPr>
        <w:pStyle w:val="Corpodetexto"/>
        <w:spacing w:after="0" w:line="360" w:lineRule="auto"/>
        <w:ind w:firstLine="1701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O MINISTÉRIO PÚBLICO DO ESTADO DO CEARÁ</w:t>
      </w:r>
      <w:r>
        <w:rPr>
          <w:rStyle w:val="normaltextrun"/>
          <w:color w:val="000000"/>
          <w:shd w:val="clear" w:color="auto" w:fill="FFFFFF"/>
        </w:rPr>
        <w:t>, por intermédio do PROMOTOR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val="clear" w:color="auto" w:fill="FFFFFF"/>
        </w:rPr>
        <w:t> </w:t>
      </w:r>
    </w:p>
    <w:p w14:paraId="32B7A06C" w14:textId="77777777" w:rsidR="00B87C13" w:rsidRDefault="00942C38" w:rsidP="00C30646">
      <w:pPr>
        <w:pStyle w:val="Corpodetexto"/>
        <w:spacing w:after="0"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499223D4" w14:textId="77777777" w:rsidR="00B87C13" w:rsidRDefault="00942C38" w:rsidP="00C30646">
      <w:pPr>
        <w:spacing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w14:paraId="5ED5DF72" w14:textId="77777777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a classificação de pandemia do Novo Coronavírus (COVID-19) pela Organização Mundial da Saúde (OMS), e a situação de emergência de saúde pública decretada pela Lei nº 13.979/2020, que prevê, em seu art. 3º, a adoção de medidas de isolamento, quarentena, realização compulsória de tratamentos médicos específicos, estudo e investigação epidemiológica, dentre outros;</w:t>
      </w:r>
    </w:p>
    <w:p w14:paraId="4DE9F2C7" w14:textId="77777777" w:rsidR="00B92103" w:rsidRDefault="00B92103" w:rsidP="00C30646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Governo do Estado do Ceará, por meio do Decreto nº 33.510, de 16 de março de 2020, decretou situação de emergência em saúde, em razão da disseminação de COVID-19 no Estado do Ceará, dispondo sobre diversas medidas para enfrentamento e contenção da infecção humana pelo novo coronavírus, tendo intensificado as </w:t>
      </w:r>
      <w:r>
        <w:rPr>
          <w:rFonts w:eastAsia="Times New Roman" w:cs="Times New Roman"/>
        </w:rPr>
        <w:lastRenderedPageBreak/>
        <w:t>medidas por meio do Decreto nº 33.519, de 19 de março de 2020, e</w:t>
      </w:r>
      <w:hyperlink r:id="rId11" w:history="1">
        <w:r w:rsidRPr="00355F12">
          <w:rPr>
            <w:rStyle w:val="Hyperlink"/>
            <w:rFonts w:eastAsia="Times New Roman" w:cs="Times New Roman"/>
          </w:rPr>
          <w:t xml:space="preserve"> alterações posteriores</w:t>
        </w:r>
      </w:hyperlink>
      <w:r>
        <w:rPr>
          <w:rFonts w:eastAsia="Times New Roman" w:cs="Times New Roman"/>
        </w:rPr>
        <w:t>;</w:t>
      </w:r>
    </w:p>
    <w:p w14:paraId="23139862" w14:textId="0C2B1B4B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que a </w:t>
      </w:r>
      <w:hyperlink r:id="rId12" w:history="1">
        <w:r w:rsidRPr="00A91CD1">
          <w:rPr>
            <w:rStyle w:val="Hyperlink"/>
          </w:rPr>
          <w:t>Nota Técnica Conjunta Nº 1/2020 – CES/CNMP/1ª CCR</w:t>
        </w:r>
      </w:hyperlink>
      <w:r>
        <w:t>, de 26 de fevereiro de 2020, dispõe a importância da atuação do Ministério Público no enfrentamento do COVID-19;</w:t>
      </w:r>
    </w:p>
    <w:p w14:paraId="059B3562" w14:textId="0E70C909" w:rsidR="003B7DDE" w:rsidRDefault="003B7DDE" w:rsidP="003B7DDE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as farmácias, conforme definido na Lei n. 13.021, de 8 de agosto de 2014, são unidades de prestação de serviços de assistência à saúde: “Art. 3 Farmácia é uma unidade de prestação de serviços destinada a prestar assistência farmacêutica, assistência à saúde e orientação sanitária individual e coletiva, na qual se processe a manipulação e/ou dispensação de medicamentos magistrais, oficinais, farmacopeicos ou industrializados, cosméticos, insumos farmacêuticos, produtos farmacêuticos e correlatos”.</w:t>
      </w:r>
    </w:p>
    <w:p w14:paraId="17DD08C2" w14:textId="4C93E9A6" w:rsidR="003B7DDE" w:rsidRDefault="003B7DDE" w:rsidP="003B7DDE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a </w:t>
      </w:r>
      <w:hyperlink r:id="rId13" w:history="1">
        <w:r w:rsidRPr="003B7DDE">
          <w:rPr>
            <w:rStyle w:val="Hyperlink"/>
          </w:rPr>
          <w:t>RESOLUÇÃO - RDC Nº 377, DE 28 DE ABRIL DE 2020</w:t>
        </w:r>
      </w:hyperlink>
      <w:r>
        <w:t xml:space="preserve"> a</w:t>
      </w:r>
      <w:r w:rsidRPr="003B7DDE">
        <w:t>utoriz</w:t>
      </w:r>
      <w:r>
        <w:t>ou</w:t>
      </w:r>
      <w:r w:rsidRPr="003B7DDE">
        <w:t>, em caráter temporário e excepcional, a utilização de "testes rápidos" (ensaios imunocromatográficos) para a COVID-19 em farmácias</w:t>
      </w:r>
      <w:r>
        <w:rPr>
          <w:rStyle w:val="Refdenotaderodap"/>
        </w:rPr>
        <w:footnoteReference w:id="1"/>
      </w:r>
      <w:r>
        <w:t>;</w:t>
      </w:r>
    </w:p>
    <w:p w14:paraId="1FC3EFB0" w14:textId="6F210D15" w:rsidR="003B7DDE" w:rsidRDefault="003B7DDE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a </w:t>
      </w:r>
      <w:hyperlink r:id="rId14" w:history="1">
        <w:r w:rsidRPr="003B7DDE">
          <w:rPr>
            <w:rStyle w:val="Hyperlink"/>
          </w:rPr>
          <w:t>NOTA TÉCNICA Nº 6/2021/SEI/GRECS/GGTES/DIRE1/ANVISA</w:t>
        </w:r>
      </w:hyperlink>
      <w:r>
        <w:t xml:space="preserve"> traz orientações para farmácias durante o período pandemia da COVID-19, inclusive quanto à aplicação dos “testes rápidos”, nos seguintes termos:</w:t>
      </w:r>
    </w:p>
    <w:p w14:paraId="30E48B35" w14:textId="0E20827B" w:rsidR="003B7DDE" w:rsidRDefault="003B7DDE" w:rsidP="003B7DDE">
      <w:pPr>
        <w:spacing w:line="360" w:lineRule="auto"/>
        <w:ind w:left="2268"/>
        <w:jc w:val="both"/>
      </w:pPr>
      <w:r>
        <w:t>23. Quanto à infraestrutura, quando se tratar de coleta de amostra do trato respiratório superior, como as realizadas por meio de swab, considerando a classificação de risco dos agentes biológicos estabelecida pelo Ministério da Saúde em 2017 para o Coronavírus como classificação de risco 3, com potencial para transmissão via aerossol, e ainda por tratar-se a Covid-19 de doença que pode ter consequências sérias ou até fatais, de acordo com a RDC nº 50, de 21 de fevereiro de 2002, em seu resumo dos níveis de biossegurança recomendados para agentes infecciosos, pode-se adotar as seguintes barreiras secundárias:</w:t>
      </w:r>
    </w:p>
    <w:p w14:paraId="4ABD2FDE" w14:textId="77777777" w:rsidR="003B7DDE" w:rsidRDefault="003B7DDE" w:rsidP="003B7DDE">
      <w:pPr>
        <w:spacing w:line="360" w:lineRule="auto"/>
        <w:ind w:left="2268"/>
        <w:jc w:val="both"/>
      </w:pPr>
      <w:r>
        <w:t>I. separação física dos corredores de acesso;</w:t>
      </w:r>
    </w:p>
    <w:p w14:paraId="56E239A7" w14:textId="77777777" w:rsidR="003B7DDE" w:rsidRDefault="003B7DDE" w:rsidP="003B7DDE">
      <w:pPr>
        <w:spacing w:line="360" w:lineRule="auto"/>
        <w:ind w:left="2268"/>
        <w:jc w:val="both"/>
      </w:pPr>
      <w:r>
        <w:t>II. portas de acesso dupla com fechamento automático;</w:t>
      </w:r>
    </w:p>
    <w:p w14:paraId="3FCAABFC" w14:textId="77777777" w:rsidR="003B7DDE" w:rsidRDefault="003B7DDE" w:rsidP="003B7DDE">
      <w:pPr>
        <w:spacing w:line="360" w:lineRule="auto"/>
        <w:ind w:left="2268"/>
        <w:jc w:val="both"/>
      </w:pPr>
      <w:r>
        <w:lastRenderedPageBreak/>
        <w:t>III. ar de exaustão não recirculante;</w:t>
      </w:r>
    </w:p>
    <w:p w14:paraId="5D34C719" w14:textId="77777777" w:rsidR="003B7DDE" w:rsidRDefault="003B7DDE" w:rsidP="003B7DDE">
      <w:pPr>
        <w:spacing w:line="360" w:lineRule="auto"/>
        <w:ind w:left="2268"/>
        <w:jc w:val="both"/>
      </w:pPr>
      <w:r>
        <w:t>IV. fluxo de ar negativo.</w:t>
      </w:r>
    </w:p>
    <w:p w14:paraId="23103401" w14:textId="6D08A26C" w:rsidR="003B7DDE" w:rsidRDefault="003B7DDE" w:rsidP="003B7DDE">
      <w:pPr>
        <w:spacing w:line="360" w:lineRule="auto"/>
        <w:ind w:left="2268"/>
        <w:jc w:val="both"/>
      </w:pPr>
      <w:r>
        <w:t>24. Nesse sentido, deve-se garantir minimamente que o procedimento de coleta de amostra do trato respiratório superior, como as realizadas por meio de swab, ocorra em sala privativa para a realização da testagem para o controle da fonte, sendo este ambiente mantido ventilado com janelas abertas ou com sistema de climatização com exaustão, a fim de assegurar a qualidade e renovação do ar, de forma a estabelecer uma maior segurança para o próprio ambiente e espaços contíguos, considerando as formas de transmissão da COVID- 19.</w:t>
      </w:r>
    </w:p>
    <w:p w14:paraId="61FFC461" w14:textId="133708F3" w:rsidR="003B7DDE" w:rsidRDefault="003B7DDE" w:rsidP="003B7DDE">
      <w:pPr>
        <w:spacing w:line="360" w:lineRule="auto"/>
        <w:ind w:left="2268"/>
        <w:jc w:val="both"/>
      </w:pPr>
      <w:r>
        <w:t>25. Desta forma, além de medidas de contenção aos riscos primários, causados aos trabalhadores que lidam com estes agentes, que incluem a auto inoculação, a ingestão e a exposição aos aerossóis infecciosos, para a sala em que será realizada a coleta, devem ser mais enfatizadas as barreiras primárias (equipamentos de segurança) e secundárias (soluções físicas) para que sejam também protegidos os funcionários de áreas contíguas, a comunidade e o meio ambiente contra a exposição aos aerossóis potencialmente infecciosos.</w:t>
      </w:r>
    </w:p>
    <w:p w14:paraId="2B07885B" w14:textId="77777777" w:rsidR="003B7DDE" w:rsidRDefault="003B7DDE" w:rsidP="005F01EA">
      <w:pPr>
        <w:spacing w:line="360" w:lineRule="auto"/>
        <w:ind w:firstLine="1701"/>
        <w:jc w:val="both"/>
        <w:rPr>
          <w:b/>
          <w:bCs/>
        </w:rPr>
      </w:pPr>
    </w:p>
    <w:p w14:paraId="33E8320C" w14:textId="249EC67B" w:rsidR="003B7DDE" w:rsidRDefault="003B7DDE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a Secretaria de Saúde do Estado do Ceará </w:t>
      </w:r>
      <w:r w:rsidR="008D0167">
        <w:t xml:space="preserve">(SESA) </w:t>
      </w:r>
      <w:r>
        <w:t xml:space="preserve">também emitiu </w:t>
      </w:r>
      <w:hyperlink r:id="rId15" w:history="1">
        <w:r w:rsidRPr="008D0167">
          <w:rPr>
            <w:rStyle w:val="Hyperlink"/>
          </w:rPr>
          <w:t>Nota técnica sobre Testes rápidos para Covid-19</w:t>
        </w:r>
      </w:hyperlink>
      <w:r w:rsidR="008D0167">
        <w:rPr>
          <w:rStyle w:val="Refdenotaderodap"/>
        </w:rPr>
        <w:footnoteReference w:id="2"/>
      </w:r>
      <w:r w:rsidR="008D0167">
        <w:t>, em</w:t>
      </w:r>
      <w:r>
        <w:t xml:space="preserve"> 13 de junho de 2020</w:t>
      </w:r>
      <w:r w:rsidR="008D0167">
        <w:t xml:space="preserve">, com orientações específicas para farmácias: </w:t>
      </w:r>
    </w:p>
    <w:p w14:paraId="589FE060" w14:textId="5EA615BA" w:rsidR="008D0167" w:rsidRDefault="008D0167" w:rsidP="008D0167">
      <w:pPr>
        <w:spacing w:line="360" w:lineRule="auto"/>
        <w:ind w:left="2268"/>
        <w:jc w:val="both"/>
      </w:pPr>
      <w:r>
        <w:t xml:space="preserve">(...) Os estabelecimentos farmacêuticos poderão realizar os testes imunocromatográficos (testes rápidos) para coronavírus SOMENTE com amostras de sangue total por punção digital capilar. </w:t>
      </w:r>
      <w:r w:rsidRPr="008D0167">
        <w:rPr>
          <w:b/>
          <w:bCs/>
        </w:rPr>
        <w:t>Os testes somente poderão ser realizados nas dependências do estabelecimento farmacêutico,</w:t>
      </w:r>
      <w:r>
        <w:t xml:space="preserve"> portanto não poderá ser realizado em domicílio, mesmo que seja realizado pelo profissional farmacêutico. </w:t>
      </w:r>
      <w:r w:rsidRPr="008D0167">
        <w:rPr>
          <w:b/>
          <w:bCs/>
        </w:rPr>
        <w:lastRenderedPageBreak/>
        <w:t>Não será permitida a realização de testes rápidos em ambiente anexo à Farmácia. As pessoas que procuram os serviços de teste rápidos do COVID 19 deverão seguir fluxos diferentes do atendimento aos outros clientes que buscam os demais serviços na Farmácia.</w:t>
      </w:r>
      <w:r>
        <w:t xml:space="preserve"> </w:t>
      </w:r>
      <w:r w:rsidRPr="008D0167">
        <w:rPr>
          <w:b/>
          <w:bCs/>
        </w:rPr>
        <w:t>As pessoas com suspeita de COVID -19 deverão ser atendidas de imediato.</w:t>
      </w:r>
      <w:r>
        <w:t xml:space="preserve"> Os testes deverão ser realizados por profissional farmacêutico habilitado no Conselho Regional e treinado. Cabe ao farmacêutico entrevistar o solicitante do teste rápido e esclarecer ao mesmo sobre o uso do teste, a respectiva janela imunológica, o tempo necessário para que seja detectado anticorpos, bem como que os resultados (positivo ou negativo), não indicam diagnóstico. O diagnóstico da infecção deverá ser feito por testes RT- PCR. (...) grifo nosso.</w:t>
      </w:r>
    </w:p>
    <w:p w14:paraId="4D0C0044" w14:textId="77777777" w:rsidR="008D0167" w:rsidRDefault="008D0167" w:rsidP="008D0167">
      <w:pPr>
        <w:spacing w:line="360" w:lineRule="auto"/>
        <w:ind w:left="2268"/>
        <w:jc w:val="both"/>
        <w:rPr>
          <w:b/>
          <w:bCs/>
        </w:rPr>
      </w:pPr>
    </w:p>
    <w:p w14:paraId="30A980EB" w14:textId="6177576D" w:rsidR="008D0167" w:rsidRDefault="008D0167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a SESA emitiu </w:t>
      </w:r>
      <w:r w:rsidRPr="008D0167">
        <w:t xml:space="preserve">Nota Técnica </w:t>
      </w:r>
      <w:r>
        <w:t xml:space="preserve">que </w:t>
      </w:r>
      <w:r w:rsidRPr="008D0167">
        <w:t>orienta sobre notificações de casos suspeitos de Covid-19 em farmácias e drogarias</w:t>
      </w:r>
      <w:r>
        <w:rPr>
          <w:rStyle w:val="Refdenotaderodap"/>
        </w:rPr>
        <w:footnoteReference w:id="3"/>
      </w:r>
      <w:r>
        <w:t>.</w:t>
      </w:r>
    </w:p>
    <w:p w14:paraId="640468B4" w14:textId="6AC859C2" w:rsidR="00EC4E43" w:rsidRDefault="004E216C" w:rsidP="004E216C">
      <w:pPr>
        <w:spacing w:line="360" w:lineRule="auto"/>
        <w:ind w:firstLine="1701"/>
        <w:jc w:val="both"/>
      </w:pPr>
      <w:r w:rsidRPr="009605B4">
        <w:rPr>
          <w:b/>
          <w:bCs/>
        </w:rPr>
        <w:t>CONSIDERANDO</w:t>
      </w:r>
      <w:r>
        <w:t xml:space="preserve"> o aumento recente</w:t>
      </w:r>
      <w:r w:rsidR="00EC4E43">
        <w:t>, no Estado do Ceará,</w:t>
      </w:r>
      <w:r>
        <w:t xml:space="preserve"> do número de casos de pacientes com </w:t>
      </w:r>
      <w:r w:rsidR="00EC4E43">
        <w:t>COVID-19</w:t>
      </w:r>
      <w:r>
        <w:t>, do número de óbitos e do aumento exponencial de casos atendidos pela rede de saúde</w:t>
      </w:r>
      <w:r w:rsidR="00B4455D">
        <w:rPr>
          <w:rStyle w:val="Refdenotaderodap"/>
        </w:rPr>
        <w:footnoteReference w:id="4"/>
      </w:r>
      <w:r w:rsidR="00B4455D">
        <w:t>;</w:t>
      </w:r>
    </w:p>
    <w:p w14:paraId="7BC1BB3C" w14:textId="3EA79FD4" w:rsidR="005F01EA" w:rsidRDefault="005F01EA" w:rsidP="004E216C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 w:rsidRPr="005F01EA">
        <w:t xml:space="preserve"> </w:t>
      </w:r>
      <w:r w:rsidR="008D0167">
        <w:t>informações de que estabelecimentos farmacêuticos e laboratórios não estão seguindo as normas sanitárias referentes ao atendimento de clientes que vão realizar “testes rápidos”, trazendo riscos à saúde de todos os clientes atendidos nos locais</w:t>
      </w:r>
      <w:r w:rsidRPr="005F01EA">
        <w:t>;</w:t>
      </w:r>
    </w:p>
    <w:p w14:paraId="635DAA21" w14:textId="43A34241" w:rsidR="00B87C13" w:rsidRDefault="00942C38" w:rsidP="00C30646">
      <w:pPr>
        <w:spacing w:line="360" w:lineRule="auto"/>
        <w:ind w:firstLine="1701"/>
        <w:jc w:val="both"/>
        <w:rPr>
          <w:rFonts w:cs="Times New Roman"/>
          <w:color w:val="70AD47" w:themeColor="accent6"/>
          <w:lang w:eastAsia="pt-BR"/>
        </w:rPr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>
        <w:rPr>
          <w:rFonts w:eastAsia="Times New Roman" w:cs="Times New Roman"/>
          <w:color w:val="231F20"/>
          <w:lang w:eastAsia="pt-BR"/>
        </w:rPr>
        <w:t>____________________</w:t>
      </w:r>
      <w:r>
        <w:rPr>
          <w:rFonts w:cs="Times New Roman"/>
          <w:color w:val="70AD47" w:themeColor="accent6"/>
          <w:lang w:eastAsia="pt-BR"/>
        </w:rPr>
        <w:t>;</w:t>
      </w:r>
    </w:p>
    <w:p w14:paraId="700A38D7" w14:textId="16878554" w:rsidR="00CA0A6A" w:rsidRDefault="0019285C" w:rsidP="00CA0A6A">
      <w:pPr>
        <w:spacing w:line="360" w:lineRule="auto"/>
        <w:ind w:firstLine="1701"/>
        <w:jc w:val="both"/>
        <w:rPr>
          <w:rFonts w:cs="Times New Roman"/>
          <w:bCs/>
        </w:rPr>
      </w:pPr>
      <w:r w:rsidRPr="005F01EA">
        <w:rPr>
          <w:rFonts w:cs="Times New Roman"/>
          <w:b/>
          <w:bCs/>
          <w:color w:val="auto"/>
          <w:lang w:eastAsia="pt-BR"/>
        </w:rPr>
        <w:t>RESOLVE RECOMENDAR</w:t>
      </w:r>
      <w:r w:rsidR="008D0167" w:rsidRPr="00060FBE">
        <w:rPr>
          <w:rFonts w:cs="Times New Roman"/>
          <w:bCs/>
        </w:rPr>
        <w:t xml:space="preserve"> </w:t>
      </w:r>
      <w:r w:rsidR="008D0167">
        <w:rPr>
          <w:rFonts w:cs="Times New Roman"/>
          <w:bCs/>
        </w:rPr>
        <w:t>às Farmácias e Laboratórios</w:t>
      </w:r>
      <w:r w:rsidR="008D0167" w:rsidRPr="00060FBE">
        <w:rPr>
          <w:rFonts w:cs="Times New Roman"/>
          <w:bCs/>
        </w:rPr>
        <w:t xml:space="preserve"> que </w:t>
      </w:r>
      <w:r w:rsidR="008D0167">
        <w:rPr>
          <w:rFonts w:cs="Times New Roman"/>
          <w:bCs/>
        </w:rPr>
        <w:t xml:space="preserve">realizam testes de COVID-19 </w:t>
      </w:r>
      <w:r w:rsidR="008D0167" w:rsidRPr="00060FBE">
        <w:rPr>
          <w:rFonts w:cs="Times New Roman"/>
          <w:bCs/>
        </w:rPr>
        <w:t xml:space="preserve">do Município de </w:t>
      </w:r>
      <w:r w:rsidR="008D0167">
        <w:rPr>
          <w:rFonts w:cs="Times New Roman"/>
          <w:bCs/>
        </w:rPr>
        <w:t>___________</w:t>
      </w:r>
      <w:r w:rsidR="008D0167" w:rsidRPr="00060FBE">
        <w:rPr>
          <w:rFonts w:cs="Times New Roman"/>
          <w:bCs/>
        </w:rPr>
        <w:t xml:space="preserve"> </w:t>
      </w:r>
      <w:r w:rsidR="00CA0A6A">
        <w:rPr>
          <w:rFonts w:cs="Times New Roman"/>
          <w:bCs/>
        </w:rPr>
        <w:t xml:space="preserve"> que sigam todas as normas sanitárias específicas para realização da atividade, </w:t>
      </w:r>
      <w:r w:rsidR="008D0167" w:rsidRPr="00060FBE">
        <w:rPr>
          <w:rFonts w:cs="Times New Roman"/>
          <w:bCs/>
        </w:rPr>
        <w:t>adot</w:t>
      </w:r>
      <w:r w:rsidR="00CA0A6A">
        <w:rPr>
          <w:rFonts w:cs="Times New Roman"/>
          <w:bCs/>
        </w:rPr>
        <w:t>ando especialmente</w:t>
      </w:r>
      <w:r w:rsidR="008D0167" w:rsidRPr="00060FBE">
        <w:rPr>
          <w:rFonts w:cs="Times New Roman"/>
          <w:bCs/>
        </w:rPr>
        <w:t xml:space="preserve"> as </w:t>
      </w:r>
      <w:r w:rsidR="00CA0A6A">
        <w:rPr>
          <w:rFonts w:cs="Times New Roman"/>
          <w:bCs/>
        </w:rPr>
        <w:t xml:space="preserve">seguintes </w:t>
      </w:r>
      <w:r w:rsidR="008D0167" w:rsidRPr="00060FBE">
        <w:rPr>
          <w:rFonts w:cs="Times New Roman"/>
          <w:bCs/>
        </w:rPr>
        <w:t>providência</w:t>
      </w:r>
      <w:r w:rsidR="00CA0A6A">
        <w:rPr>
          <w:rFonts w:cs="Times New Roman"/>
          <w:bCs/>
        </w:rPr>
        <w:t>s:</w:t>
      </w:r>
      <w:r w:rsidR="008D0167" w:rsidRPr="00060FBE">
        <w:rPr>
          <w:rFonts w:cs="Times New Roman"/>
          <w:bCs/>
        </w:rPr>
        <w:t xml:space="preserve"> </w:t>
      </w:r>
    </w:p>
    <w:p w14:paraId="7CA41379" w14:textId="0ADFCBE9" w:rsidR="00CA0A6A" w:rsidRPr="00CA0A6A" w:rsidRDefault="00CA0A6A" w:rsidP="00CA0A6A">
      <w:pPr>
        <w:pStyle w:val="PargrafodaLista"/>
        <w:numPr>
          <w:ilvl w:val="0"/>
          <w:numId w:val="16"/>
        </w:numPr>
        <w:spacing w:line="360" w:lineRule="auto"/>
        <w:ind w:left="567"/>
        <w:rPr>
          <w:bCs/>
        </w:rPr>
      </w:pPr>
      <w:r w:rsidRPr="00CA0A6A">
        <w:rPr>
          <w:bCs/>
        </w:rPr>
        <w:lastRenderedPageBreak/>
        <w:t>Prioridade de atendimento para os clientes que vão realizar o teste para detecção do novo coronavírus (</w:t>
      </w:r>
      <w:r>
        <w:t>SARS-CoV-2), de forma que eles passem o mínimo de tempo possível no estabelecimento;</w:t>
      </w:r>
    </w:p>
    <w:p w14:paraId="01B3640C" w14:textId="297BEBCF" w:rsidR="008D0167" w:rsidRDefault="00CA0A6A" w:rsidP="00CA0A6A">
      <w:pPr>
        <w:pStyle w:val="PargrafodaLista"/>
        <w:numPr>
          <w:ilvl w:val="0"/>
          <w:numId w:val="16"/>
        </w:numPr>
        <w:spacing w:line="360" w:lineRule="auto"/>
        <w:ind w:left="567"/>
        <w:rPr>
          <w:bCs/>
        </w:rPr>
      </w:pPr>
      <w:r w:rsidRPr="00CA0A6A">
        <w:rPr>
          <w:bCs/>
        </w:rPr>
        <w:t>A</w:t>
      </w:r>
      <w:r w:rsidR="008D0167" w:rsidRPr="00CA0A6A">
        <w:rPr>
          <w:bCs/>
        </w:rPr>
        <w:t>tendimento em separado dos</w:t>
      </w:r>
      <w:r w:rsidRPr="00CA0A6A">
        <w:rPr>
          <w:bCs/>
        </w:rPr>
        <w:t xml:space="preserve"> demais</w:t>
      </w:r>
      <w:r w:rsidR="008D0167" w:rsidRPr="00CA0A6A">
        <w:rPr>
          <w:bCs/>
        </w:rPr>
        <w:t xml:space="preserve"> clientes que vão real</w:t>
      </w:r>
      <w:r w:rsidRPr="00CA0A6A">
        <w:rPr>
          <w:bCs/>
        </w:rPr>
        <w:t>izar compras de medicamentos ou utilizar outros serviços do estabelecimento, com demarcação de ambientes, filas e locais de atendimento;</w:t>
      </w:r>
    </w:p>
    <w:p w14:paraId="12122324" w14:textId="6055BF80" w:rsidR="00CA0A6A" w:rsidRPr="00CA0A6A" w:rsidRDefault="00706E1E" w:rsidP="00CA0A6A">
      <w:pPr>
        <w:pStyle w:val="PargrafodaLista"/>
        <w:numPr>
          <w:ilvl w:val="0"/>
          <w:numId w:val="16"/>
        </w:numPr>
        <w:spacing w:line="360" w:lineRule="auto"/>
        <w:ind w:left="567"/>
        <w:rPr>
          <w:bCs/>
        </w:rPr>
      </w:pPr>
      <w:r>
        <w:t>Garantir minimamente que o procedimento de coleta de amostra do trato respiratório superior, como as realizadas por meio de swab, ocorra em sala privativa para a realização da testagem para o controle da fonte, sendo este ambiente mantido ventilado com janelas abertas ou com sistema de climatização com exaustão, a fim de assegurar a qualidade e renovação do ar, de forma a estabelecer uma maior segurança para o próprio ambiente e espaços contíguos, considerando as formas de transmissão da COVID- 19.</w:t>
      </w:r>
    </w:p>
    <w:p w14:paraId="0A049469" w14:textId="0167BA82" w:rsidR="00745B9E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Remeta-se a presente RECOMENDAÇÃO para </w:t>
      </w:r>
      <w:r w:rsidR="00706E1E">
        <w:rPr>
          <w:rFonts w:eastAsia="Times New Roman" w:cs="Times New Roman"/>
        </w:rPr>
        <w:t xml:space="preserve">as redes de farmácias e laboratórios privados do </w:t>
      </w:r>
      <w:r w:rsidR="00AB6C12">
        <w:rPr>
          <w:rFonts w:eastAsia="Times New Roman" w:cs="Times New Roman"/>
        </w:rPr>
        <w:t xml:space="preserve">município de </w:t>
      </w:r>
      <w:r w:rsidR="00E0011C">
        <w:rPr>
          <w:rFonts w:eastAsia="Times New Roman" w:cs="Times New Roman"/>
        </w:rPr>
        <w:t>______________</w:t>
      </w:r>
      <w:r w:rsidRPr="007F3349">
        <w:rPr>
          <w:rFonts w:eastAsia="Times New Roman" w:cs="Times New Roman"/>
        </w:rPr>
        <w:t xml:space="preserve"> </w:t>
      </w:r>
      <w:r w:rsidR="00706E1E">
        <w:rPr>
          <w:rFonts w:eastAsia="Times New Roman" w:cs="Times New Roman"/>
        </w:rPr>
        <w:t xml:space="preserve">que realizam testes para COVID-19 </w:t>
      </w:r>
      <w:r w:rsidRPr="007F3349">
        <w:rPr>
          <w:rFonts w:eastAsia="Times New Roman" w:cs="Times New Roman"/>
        </w:rPr>
        <w:t xml:space="preserve">para adoção das providências cabíveis, e ainda para: </w:t>
      </w:r>
    </w:p>
    <w:p w14:paraId="56B5791B" w14:textId="77777777" w:rsidR="00745B9E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a) As rádios difusoras do Município para conhecimento da RECOMENDAÇÃO, dando a devida publicidade; </w:t>
      </w:r>
    </w:p>
    <w:p w14:paraId="0CAABADA" w14:textId="6CBE2C46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>b) O Centro de Apoio Operacional da Cidadania, por meio de sistema informatizado.</w:t>
      </w:r>
    </w:p>
    <w:p w14:paraId="79FF47A3" w14:textId="4EFC8862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Requisite-se, na forma do artigo 27, parágrafo único, inciso IV da Lei nº8.625/93, </w:t>
      </w:r>
      <w:r w:rsidR="00E0011C">
        <w:rPr>
          <w:rFonts w:eastAsia="Times New Roman" w:cs="Times New Roman"/>
        </w:rPr>
        <w:t>aos destinatários</w:t>
      </w:r>
      <w:r w:rsidRPr="007F3349">
        <w:rPr>
          <w:rFonts w:eastAsia="Times New Roman" w:cs="Times New Roman"/>
        </w:rPr>
        <w:t xml:space="preserve">, no prazo de </w:t>
      </w:r>
      <w:r w:rsidR="00E0011C">
        <w:rPr>
          <w:rFonts w:eastAsia="Times New Roman" w:cs="Times New Roman"/>
        </w:rPr>
        <w:t>___ dias</w:t>
      </w:r>
      <w:r w:rsidRPr="007F3349">
        <w:rPr>
          <w:rFonts w:eastAsia="Times New Roman" w:cs="Times New Roman"/>
        </w:rPr>
        <w:t>, comunique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______________________</w:t>
      </w:r>
      <w:r w:rsidRPr="007F3349">
        <w:rPr>
          <w:rFonts w:eastAsia="Times New Roman" w:cs="Times New Roman"/>
        </w:rPr>
        <w:t xml:space="preserve"> as providências adotadas para cumprimento desta RECOMENDAÇÃO.</w:t>
      </w:r>
    </w:p>
    <w:p w14:paraId="3D338FD9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027689C2" w14:textId="5512F72F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  <w:r w:rsidR="00E71679"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Arquive-se.</w:t>
      </w:r>
    </w:p>
    <w:p w14:paraId="58116A73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2F2D9B97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30B39F6C" w14:textId="77777777" w:rsidR="00B87C13" w:rsidRDefault="00B87C13">
      <w:pPr>
        <w:spacing w:line="360" w:lineRule="auto"/>
        <w:ind w:firstLine="1701"/>
        <w:jc w:val="center"/>
      </w:pPr>
    </w:p>
    <w:sectPr w:rsidR="00B87C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D561" w14:textId="77777777" w:rsidR="009974A0" w:rsidRDefault="009974A0">
      <w:pPr>
        <w:spacing w:line="240" w:lineRule="auto"/>
      </w:pPr>
      <w:r>
        <w:separator/>
      </w:r>
    </w:p>
  </w:endnote>
  <w:endnote w:type="continuationSeparator" w:id="0">
    <w:p w14:paraId="381DA690" w14:textId="77777777" w:rsidR="009974A0" w:rsidRDefault="00997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89FA" w14:textId="77777777" w:rsidR="004E216C" w:rsidRDefault="004E2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CA64" w14:textId="77777777" w:rsidR="007B6229" w:rsidRDefault="004E216C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47718DC3" wp14:editId="6A584ED3">
          <wp:extent cx="6121400" cy="63500"/>
          <wp:effectExtent l="0" t="0" r="0" b="0"/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3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9A4CED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7F85D777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C1AE" w14:textId="77777777" w:rsidR="004E216C" w:rsidRDefault="004E2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6ACB" w14:textId="77777777" w:rsidR="009974A0" w:rsidRDefault="009974A0">
      <w:pPr>
        <w:spacing w:line="240" w:lineRule="auto"/>
      </w:pPr>
      <w:r>
        <w:separator/>
      </w:r>
    </w:p>
  </w:footnote>
  <w:footnote w:type="continuationSeparator" w:id="0">
    <w:p w14:paraId="035386B0" w14:textId="77777777" w:rsidR="009974A0" w:rsidRDefault="009974A0">
      <w:pPr>
        <w:spacing w:line="240" w:lineRule="auto"/>
      </w:pPr>
      <w:r>
        <w:continuationSeparator/>
      </w:r>
    </w:p>
  </w:footnote>
  <w:footnote w:id="1">
    <w:p w14:paraId="1EC09DC5" w14:textId="06ACA32F" w:rsidR="003B7DDE" w:rsidRDefault="003B7DD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B60146">
          <w:rPr>
            <w:rStyle w:val="Hyperlink"/>
          </w:rPr>
          <w:t>https://www.in.gov.br/web/dou/-/resolucao-rdc-n-377-de-28-de-abril-de-2020-254429215</w:t>
        </w:r>
      </w:hyperlink>
      <w:r>
        <w:t xml:space="preserve"> </w:t>
      </w:r>
    </w:p>
  </w:footnote>
  <w:footnote w:id="2">
    <w:p w14:paraId="7ED28629" w14:textId="45FCF553" w:rsidR="008D0167" w:rsidRDefault="008D01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B60146">
          <w:rPr>
            <w:rStyle w:val="Hyperlink"/>
          </w:rPr>
          <w:t>https://www.saude.ce.gov.br/wp-content/uploads/sites/9/2020/02/nota_tecnica_teste_rapido_covid_13_06_2020.pdf</w:t>
        </w:r>
      </w:hyperlink>
      <w:r>
        <w:t xml:space="preserve"> </w:t>
      </w:r>
    </w:p>
  </w:footnote>
  <w:footnote w:id="3">
    <w:p w14:paraId="7BB401BB" w14:textId="0CD7286E" w:rsidR="008D0167" w:rsidRDefault="008D016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B60146">
          <w:rPr>
            <w:rStyle w:val="Hyperlink"/>
          </w:rPr>
          <w:t>https://coronavirus.ceara.gov.br/wp-content/uploads/2021/02/NT_FARMACIAS_20210224_2.pdf</w:t>
        </w:r>
      </w:hyperlink>
      <w:r>
        <w:t xml:space="preserve"> </w:t>
      </w:r>
    </w:p>
  </w:footnote>
  <w:footnote w:id="4">
    <w:p w14:paraId="24314D22" w14:textId="1B8D9B84" w:rsidR="00B4455D" w:rsidRDefault="00B4455D">
      <w:pPr>
        <w:pStyle w:val="Textodenotaderodap"/>
      </w:pPr>
      <w:r>
        <w:rPr>
          <w:rStyle w:val="Refdenotaderodap"/>
        </w:rPr>
        <w:footnoteRef/>
      </w:r>
      <w:r>
        <w:t xml:space="preserve"> Dados disponíveis no IntegraSUS: </w:t>
      </w:r>
      <w:hyperlink r:id="rId4" w:history="1">
        <w:r w:rsidRPr="00F47249">
          <w:rPr>
            <w:rStyle w:val="Hyperlink"/>
          </w:rPr>
          <w:t>https://indicadores.integrasus.saude.ce.gov.br/indicadores/indicadores-coronavirus/nivel-alerta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36DC" w14:textId="77777777" w:rsidR="004E216C" w:rsidRDefault="004E2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80B0" w14:textId="77777777" w:rsidR="007B6229" w:rsidRDefault="004E216C">
    <w:pPr>
      <w:pStyle w:val="Corpodetexto"/>
      <w:spacing w:line="240" w:lineRule="auto"/>
      <w:rPr>
        <w:rFonts w:cs="Times New Roman"/>
        <w:b/>
      </w:rPr>
    </w:pPr>
    <w:r>
      <w:rPr>
        <w:noProof/>
      </w:rPr>
      <w:drawing>
        <wp:inline distT="0" distB="0" distL="0" distR="0" wp14:anchorId="40B08B47" wp14:editId="4FDC09D2">
          <wp:extent cx="5803900" cy="533400"/>
          <wp:effectExtent l="0" t="0" r="0" b="0"/>
          <wp:docPr id="5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B6C1B8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1C328B42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4C1" w14:textId="77777777" w:rsidR="004E216C" w:rsidRDefault="004E2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6" w15:restartNumberingAfterBreak="0">
    <w:nsid w:val="43611358"/>
    <w:multiLevelType w:val="hybridMultilevel"/>
    <w:tmpl w:val="78C6D76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94F82D"/>
    <w:rsid w:val="00026433"/>
    <w:rsid w:val="00060FBE"/>
    <w:rsid w:val="00066351"/>
    <w:rsid w:val="000A18B6"/>
    <w:rsid w:val="000B5725"/>
    <w:rsid w:val="000C2F7A"/>
    <w:rsid w:val="0012226C"/>
    <w:rsid w:val="0019193A"/>
    <w:rsid w:val="0019285C"/>
    <w:rsid w:val="002359CA"/>
    <w:rsid w:val="002622DA"/>
    <w:rsid w:val="002A0E7C"/>
    <w:rsid w:val="002F2380"/>
    <w:rsid w:val="00355F12"/>
    <w:rsid w:val="00395F52"/>
    <w:rsid w:val="003A7ECF"/>
    <w:rsid w:val="003B7DDE"/>
    <w:rsid w:val="00407B3C"/>
    <w:rsid w:val="004A2227"/>
    <w:rsid w:val="004A3525"/>
    <w:rsid w:val="004B7A00"/>
    <w:rsid w:val="004E216C"/>
    <w:rsid w:val="00522B4F"/>
    <w:rsid w:val="00542077"/>
    <w:rsid w:val="00581439"/>
    <w:rsid w:val="005B5239"/>
    <w:rsid w:val="005F01EA"/>
    <w:rsid w:val="006342C3"/>
    <w:rsid w:val="006406FF"/>
    <w:rsid w:val="0065575D"/>
    <w:rsid w:val="006707C1"/>
    <w:rsid w:val="006A543B"/>
    <w:rsid w:val="006E0E51"/>
    <w:rsid w:val="00706E1E"/>
    <w:rsid w:val="00710654"/>
    <w:rsid w:val="00745B9E"/>
    <w:rsid w:val="007521CB"/>
    <w:rsid w:val="007B6229"/>
    <w:rsid w:val="007E4717"/>
    <w:rsid w:val="007E4D3C"/>
    <w:rsid w:val="00864F0F"/>
    <w:rsid w:val="00891729"/>
    <w:rsid w:val="008B2B9D"/>
    <w:rsid w:val="008D0167"/>
    <w:rsid w:val="00905909"/>
    <w:rsid w:val="00942C38"/>
    <w:rsid w:val="009605B4"/>
    <w:rsid w:val="009974A0"/>
    <w:rsid w:val="009E138D"/>
    <w:rsid w:val="00A75DD0"/>
    <w:rsid w:val="00A91CD1"/>
    <w:rsid w:val="00AB612B"/>
    <w:rsid w:val="00AB6C12"/>
    <w:rsid w:val="00AE49EF"/>
    <w:rsid w:val="00B07B3B"/>
    <w:rsid w:val="00B15906"/>
    <w:rsid w:val="00B4455D"/>
    <w:rsid w:val="00B6213F"/>
    <w:rsid w:val="00B87C13"/>
    <w:rsid w:val="00B92103"/>
    <w:rsid w:val="00BB090B"/>
    <w:rsid w:val="00C30646"/>
    <w:rsid w:val="00C657E3"/>
    <w:rsid w:val="00CA0A6A"/>
    <w:rsid w:val="00D17A61"/>
    <w:rsid w:val="00D946F5"/>
    <w:rsid w:val="00DD63B2"/>
    <w:rsid w:val="00DE0154"/>
    <w:rsid w:val="00E0011C"/>
    <w:rsid w:val="00E71679"/>
    <w:rsid w:val="00E80E92"/>
    <w:rsid w:val="00EC4E43"/>
    <w:rsid w:val="00F16B0E"/>
    <w:rsid w:val="00F6239D"/>
    <w:rsid w:val="00F82CF0"/>
    <w:rsid w:val="00FF51A2"/>
    <w:rsid w:val="5F8B1830"/>
    <w:rsid w:val="60965DDB"/>
    <w:rsid w:val="6C94F82D"/>
    <w:rsid w:val="7E0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0660"/>
  <w15:docId w15:val="{13981417-98FB-48B9-91DC-51F1F5B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67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styleId="Ttulo1">
    <w:name w:val="heading 1"/>
    <w:uiPriority w:val="9"/>
    <w:qFormat/>
    <w:pPr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uiPriority w:val="9"/>
    <w:semiHidden/>
    <w:unhideWhenUsed/>
    <w:qFormat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</w:rPr>
  </w:style>
  <w:style w:type="paragraph" w:styleId="Ttulo3">
    <w:name w:val="heading 3"/>
    <w:uiPriority w:val="9"/>
    <w:semiHidden/>
    <w:unhideWhenUsed/>
    <w:qFormat/>
    <w:pPr>
      <w:widowControl w:val="0"/>
      <w:numPr>
        <w:ilvl w:val="2"/>
        <w:numId w:val="1"/>
      </w:num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DefaultParagraphFont1">
    <w:name w:val="Default Paragraph Font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normaltextrunscx168548192">
    <w:name w:val="normaltextrun scx168548192"/>
    <w:basedOn w:val="Fontepargpadro"/>
    <w:qFormat/>
  </w:style>
  <w:style w:type="character" w:customStyle="1" w:styleId="spellingerrorscx168548192">
    <w:name w:val="spellingerror scx168548192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qFormat/>
    <w:rPr>
      <w:rFonts w:cs="Times New Roman"/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next w:val="Corpodetexto"/>
    <w:uiPriority w:val="10"/>
    <w:qFormat/>
    <w:pPr>
      <w:widowControl w:val="0"/>
      <w:suppressAutoHyphens/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</w:rPr>
  </w:style>
  <w:style w:type="paragraph" w:styleId="Textodenotaderodap">
    <w:name w:val="footnote text"/>
    <w:basedOn w:val="Normal"/>
    <w:link w:val="TextodenotaderodapChar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2D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basedOn w:val="Fontepargpadro"/>
    <w:link w:val="Textodenotaderodap"/>
    <w:rsid w:val="009605B4"/>
    <w:rPr>
      <w:rFonts w:ascii="Times New Roman" w:eastAsia="SimSun;宋体" w:hAnsi="Times New Roman" w:cs="Mangal"/>
      <w:color w:val="00000A"/>
      <w:kern w:val="2"/>
      <w:szCs w:val="20"/>
    </w:rPr>
  </w:style>
  <w:style w:type="paragraph" w:customStyle="1" w:styleId="LO-Normal1">
    <w:name w:val="LO-Normal1"/>
    <w:rsid w:val="005F01EA"/>
    <w:pPr>
      <w:suppressAutoHyphens/>
      <w:autoSpaceDN w:val="0"/>
      <w:spacing w:line="100" w:lineRule="atLeast"/>
    </w:pPr>
    <w:rPr>
      <w:rFonts w:ascii="Times New Roman" w:eastAsia="Wingdings" w:hAnsi="Times New Roman" w:cs="Symbol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.br/web/dou/-/resolucao-rdc-n-377-de-28-de-abril-de-2020-25442921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crianca.mppr.mp.br/arquivos/File/legis/covid19/nota_tecnica_conjunta_ces_cnmp_n01_2020_covid19_26022020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ara.gov.br/decretos-do-governo-do-ceara-com-acoes-contra-o-corona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ude.ce.gov.br/wp-content/uploads/sites/9/2020/02/nota_tecnica_teste_rapido_covid_13_06_2020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gilanciasanitaria.sc.gov.br/phocadownload/Noticias/2021/nota-tecnica-no-6-de-202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onavirus.ceara.gov.br/wp-content/uploads/2021/02/NT_FARMACIAS_20210224_2.pdf" TargetMode="External"/><Relationship Id="rId2" Type="http://schemas.openxmlformats.org/officeDocument/2006/relationships/hyperlink" Target="https://www.saude.ce.gov.br/wp-content/uploads/sites/9/2020/02/nota_tecnica_teste_rapido_covid_13_06_2020.pdf" TargetMode="External"/><Relationship Id="rId1" Type="http://schemas.openxmlformats.org/officeDocument/2006/relationships/hyperlink" Target="https://www.in.gov.br/web/dou/-/resolucao-rdc-n-377-de-28-de-abril-de-2020-254429215" TargetMode="External"/><Relationship Id="rId4" Type="http://schemas.openxmlformats.org/officeDocument/2006/relationships/hyperlink" Target="https://indicadores.integrasus.saude.ce.gov.br/indicadores/indicadores-coronavirus/nivel-aler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Nairim Tatiane Lima Chaves</cp:lastModifiedBy>
  <cp:revision>3</cp:revision>
  <cp:lastPrinted>2017-04-07T12:40:00Z</cp:lastPrinted>
  <dcterms:created xsi:type="dcterms:W3CDTF">2021-03-31T17:03:00Z</dcterms:created>
  <dcterms:modified xsi:type="dcterms:W3CDTF">2021-03-31T17:04:00Z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