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DD3B5" w14:textId="77777777" w:rsidR="00835D6B" w:rsidRDefault="00835D6B" w:rsidP="009A1304">
      <w:pPr>
        <w:spacing w:after="57" w:line="360" w:lineRule="auto"/>
        <w:ind w:left="400"/>
        <w:rPr>
          <w:rFonts w:cs="Times New Roman"/>
          <w:b/>
        </w:rPr>
      </w:pPr>
    </w:p>
    <w:p w14:paraId="2BFF901C" w14:textId="77777777" w:rsidR="00835D6B" w:rsidRDefault="005A212B">
      <w:pPr>
        <w:spacing w:after="57" w:line="360" w:lineRule="auto"/>
        <w:ind w:left="400"/>
        <w:jc w:val="center"/>
      </w:pPr>
      <w:r>
        <w:rPr>
          <w:rFonts w:cs="Times New Roman"/>
          <w:b/>
          <w:bCs/>
        </w:rPr>
        <w:t>RECOMENDAÇÃO Nº ____/2020</w:t>
      </w:r>
    </w:p>
    <w:p w14:paraId="06485559" w14:textId="77777777" w:rsidR="00835D6B" w:rsidRDefault="00835D6B">
      <w:pPr>
        <w:spacing w:after="57" w:line="360" w:lineRule="auto"/>
        <w:ind w:left="400" w:firstLine="2552"/>
        <w:jc w:val="both"/>
        <w:rPr>
          <w:rFonts w:cs="Times New Roman"/>
          <w:b/>
          <w:bCs/>
        </w:rPr>
      </w:pPr>
    </w:p>
    <w:p w14:paraId="1FFEDC46" w14:textId="7439EE7F" w:rsidR="00835D6B" w:rsidRDefault="005A212B">
      <w:pPr>
        <w:spacing w:after="57" w:line="360" w:lineRule="atLeast"/>
        <w:jc w:val="both"/>
        <w:rPr>
          <w:rFonts w:eastAsia="Times New Roman" w:cs="Times New Roman"/>
          <w:b/>
          <w:bCs/>
          <w:color w:val="auto"/>
        </w:rPr>
      </w:pPr>
      <w:r w:rsidRPr="00656B60">
        <w:rPr>
          <w:rFonts w:eastAsia="Times New Roman" w:cs="Times New Roman"/>
          <w:b/>
          <w:bCs/>
          <w:color w:val="auto"/>
        </w:rPr>
        <w:t>Objeto:</w:t>
      </w:r>
    </w:p>
    <w:p w14:paraId="6D7F7F16" w14:textId="12216004" w:rsidR="00D86720" w:rsidRPr="00656B60" w:rsidRDefault="00D86720">
      <w:pPr>
        <w:spacing w:after="57" w:line="360" w:lineRule="atLeast"/>
        <w:jc w:val="both"/>
        <w:rPr>
          <w:color w:val="auto"/>
        </w:rPr>
      </w:pPr>
      <w:r>
        <w:rPr>
          <w:color w:val="auto"/>
        </w:rPr>
        <w:t>R</w:t>
      </w:r>
      <w:r w:rsidRPr="00D86720">
        <w:rPr>
          <w:color w:val="auto"/>
        </w:rPr>
        <w:t xml:space="preserve">ecomenda à </w:t>
      </w:r>
      <w:r>
        <w:rPr>
          <w:color w:val="auto"/>
        </w:rPr>
        <w:t>Secretaria</w:t>
      </w:r>
      <w:r w:rsidRPr="00D86720">
        <w:rPr>
          <w:color w:val="auto"/>
        </w:rPr>
        <w:t xml:space="preserve"> de </w:t>
      </w:r>
      <w:r>
        <w:rPr>
          <w:color w:val="auto"/>
        </w:rPr>
        <w:t>S</w:t>
      </w:r>
      <w:r w:rsidRPr="00D86720">
        <w:rPr>
          <w:color w:val="auto"/>
        </w:rPr>
        <w:t xml:space="preserve">aúde do </w:t>
      </w:r>
      <w:r w:rsidR="00CC42A3">
        <w:rPr>
          <w:color w:val="auto"/>
        </w:rPr>
        <w:t>M</w:t>
      </w:r>
      <w:r w:rsidRPr="00D86720">
        <w:rPr>
          <w:color w:val="auto"/>
        </w:rPr>
        <w:t xml:space="preserve">unicípio </w:t>
      </w:r>
      <w:r w:rsidR="000F4F1D">
        <w:rPr>
          <w:color w:val="auto"/>
        </w:rPr>
        <w:t xml:space="preserve">de _______________ </w:t>
      </w:r>
      <w:r w:rsidRPr="00D86720">
        <w:rPr>
          <w:color w:val="auto"/>
        </w:rPr>
        <w:t>que adote providências para garantir que os usuários do sistema público de saúde sejam identificados no momento da internação por, no mínimo, pulseira de identificação e placa de identificação junto ao leito, com a finalidade de promo</w:t>
      </w:r>
      <w:r>
        <w:rPr>
          <w:color w:val="auto"/>
        </w:rPr>
        <w:t xml:space="preserve">ver </w:t>
      </w:r>
      <w:r w:rsidRPr="00D86720">
        <w:rPr>
          <w:color w:val="auto"/>
        </w:rPr>
        <w:t>a segurança do paciente nos serviços de saúde, evitando eventuais danos e adversidades</w:t>
      </w:r>
      <w:r w:rsidR="008F1CF8">
        <w:rPr>
          <w:color w:val="auto"/>
        </w:rPr>
        <w:t>.</w:t>
      </w:r>
    </w:p>
    <w:p w14:paraId="74B0EA9B" w14:textId="77777777" w:rsidR="00DA5E50" w:rsidRDefault="00DA5E50" w:rsidP="00656B60">
      <w:pPr>
        <w:spacing w:after="57" w:line="360" w:lineRule="auto"/>
        <w:jc w:val="both"/>
        <w:rPr>
          <w:rFonts w:cs="Times New Roman"/>
          <w:b/>
          <w:bCs/>
          <w:color w:val="70AD47"/>
        </w:rPr>
      </w:pPr>
    </w:p>
    <w:p w14:paraId="0D6A33A7" w14:textId="77777777" w:rsidR="000F4F1D" w:rsidRDefault="005A212B" w:rsidP="000F4F1D">
      <w:pPr>
        <w:spacing w:line="360" w:lineRule="auto"/>
        <w:ind w:firstLine="1701"/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O MINISTÉRIO PÚBLICO DO ESTADO DO CEARÁ</w:t>
      </w:r>
      <w:r>
        <w:rPr>
          <w:rFonts w:cs="Times New Roman"/>
          <w:color w:val="000000"/>
        </w:rPr>
        <w:t>, por intermédio do PROMOTOR DE JUSTIÇA titular da Promotoria de Justiça da comarca de _____________, no uso das atribuições que lhe são conferidas pelos artigos 129, incisos III, VI e IX, da Constituição Federal de 1988; artigo 26, inciso I, e alíneas, da Lei Federal nº 8.625/93, e atendendo às determinações constantes da Resolução nº 036/2016 do OECPJ/CE;</w:t>
      </w:r>
    </w:p>
    <w:p w14:paraId="6315AEF2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74AB3E70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é função institucional do Ministério Público zelar pelo efetivo respeito dos serviços de relevância pública aos direitos assegurados na Constituição Federal, em especial, aos relativos à saúde (art. 197, da CF/88), promovendo todas as medidas necessárias a sua garantia (art. 129, inciso II, da CF/88);</w:t>
      </w:r>
    </w:p>
    <w:p w14:paraId="1D90AEBD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saúde é direito de todos e dever do Estado, nos termos do art. 196 da Constituição Federal;</w:t>
      </w:r>
    </w:p>
    <w:p w14:paraId="2ED21FE7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Organização Mundial da Saúde, em 11 de março de 2020, declarou situação de pandemia de COVID-19, doença causada pelo novo coronavírus </w:t>
      </w:r>
      <w:r>
        <w:rPr>
          <w:color w:val="000000"/>
        </w:rPr>
        <w:lastRenderedPageBreak/>
        <w:t>(Sars-Cov-2), momento em que uma doença se espalha por diversos continentes com transmissão sustentada entre humanos;</w:t>
      </w:r>
    </w:p>
    <w:p w14:paraId="33C72CB2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o Ministério da Saúde, nos termos da Portaria nº 188/2020, editada com base no Decreto Federal n.º 7.616/2011, declarou situação de Emergência em Saúde Pública de Importância Nacional (ESPIN) em decorrência da Infecção Humana pelo novo coronavírus (Sars-Cov-2);</w:t>
      </w:r>
    </w:p>
    <w:p w14:paraId="6608F5AC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a Nota Técnica Conjunta nº 1/2020, elaborada pelo Conselho Nacional do Ministério Público e o Ministério Público Federal, que trata da atuação dos membros do Ministério Público brasileiro, em face da decretação de Emergência de Saúde Pública de Importância Nacional para o coronavírus (COVID-19), em que se evidencia “</w:t>
      </w:r>
      <w:r>
        <w:rPr>
          <w:i/>
          <w:color w:val="000000"/>
        </w:rPr>
        <w:t>a necessidade de atuação conjunta, interinstitucional, e voltada à atuação preventiva, extrajudicial e resolutiva, em face dos riscos crescentes da epidemia instalar-se no território nacional</w:t>
      </w:r>
      <w:r>
        <w:rPr>
          <w:color w:val="000000"/>
        </w:rPr>
        <w:t>”;</w:t>
      </w:r>
    </w:p>
    <w:p w14:paraId="60137F1B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Portaria Nº 529, de 1º de Abril de 2013</w:t>
      </w:r>
      <w:r>
        <w:rPr>
          <w:rStyle w:val="Refdenotaderodap"/>
          <w:color w:val="000000"/>
        </w:rPr>
        <w:footnoteReference w:id="1"/>
      </w:r>
      <w:r>
        <w:rPr>
          <w:color w:val="000000"/>
        </w:rPr>
        <w:t>, do Ministério da Saúde, institui o Programa Nacional de Segurança do Paciente (PNSP);</w:t>
      </w:r>
    </w:p>
    <w:p w14:paraId="1477F6AB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Resolução - RDC Nº 36, de 25 de julho de 2013</w:t>
      </w:r>
      <w:r>
        <w:rPr>
          <w:rStyle w:val="Refdenotaderodap"/>
          <w:color w:val="000000"/>
        </w:rPr>
        <w:footnoteReference w:id="2"/>
      </w:r>
      <w:r>
        <w:rPr>
          <w:color w:val="000000"/>
        </w:rPr>
        <w:t>, da ANVISA, institui ações para a segurança do paciente em serviços de saúde;</w:t>
      </w:r>
    </w:p>
    <w:p w14:paraId="2F912D38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RDC Nº 36/2013 "</w:t>
      </w:r>
      <w:r>
        <w:rPr>
          <w:i/>
          <w:color w:val="000000"/>
        </w:rPr>
        <w:t>se aplica aos serviços de saúde, sejam eles públicos, privados, filantrópicos, civis ou militares, incluindo aqueles que exercem ações de ensino e pesquisa</w:t>
      </w:r>
      <w:r>
        <w:rPr>
          <w:color w:val="000000"/>
        </w:rPr>
        <w:t>";</w:t>
      </w:r>
    </w:p>
    <w:p w14:paraId="51E2C1E3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o Plano de Segurança do Paciente em Serviços de Saúde, previsto na RDC Nº 36/2013 "</w:t>
      </w:r>
      <w:r>
        <w:rPr>
          <w:i/>
          <w:color w:val="000000"/>
        </w:rPr>
        <w:t>deve estabelecer estratégias e ações de gestão de risco, conforme as atividades desenvolvidas pelo serviço de saúde para</w:t>
      </w:r>
      <w:r>
        <w:rPr>
          <w:color w:val="000000"/>
        </w:rPr>
        <w:t>", dentre outros, "</w:t>
      </w:r>
      <w:r>
        <w:rPr>
          <w:i/>
          <w:color w:val="000000"/>
        </w:rPr>
        <w:t>identificação do paciente</w:t>
      </w:r>
      <w:r>
        <w:rPr>
          <w:color w:val="000000"/>
        </w:rPr>
        <w:t>" e "</w:t>
      </w:r>
      <w:r>
        <w:rPr>
          <w:i/>
          <w:color w:val="000000"/>
        </w:rPr>
        <w:t>promoção do ambiente seguro</w:t>
      </w:r>
      <w:r>
        <w:rPr>
          <w:color w:val="000000"/>
        </w:rPr>
        <w:t>";</w:t>
      </w:r>
    </w:p>
    <w:p w14:paraId="5DA22C22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Portaria nº 2.095, de 24 de setembro de 2013</w:t>
      </w:r>
      <w:r>
        <w:rPr>
          <w:rStyle w:val="Refdenotaderodap"/>
          <w:color w:val="000000"/>
        </w:rPr>
        <w:footnoteReference w:id="3"/>
      </w:r>
      <w:r>
        <w:rPr>
          <w:color w:val="000000"/>
        </w:rPr>
        <w:t>, do Ministério da Saúde, aprovou os "Protocolos Básicos de Segurança do Paciente";</w:t>
      </w:r>
    </w:p>
    <w:p w14:paraId="12F61443" w14:textId="77777777" w:rsidR="000F4F1D" w:rsidRDefault="00D86720" w:rsidP="000F4F1D">
      <w:pPr>
        <w:spacing w:line="360" w:lineRule="auto"/>
        <w:ind w:firstLine="1701"/>
        <w:jc w:val="both"/>
        <w:rPr>
          <w:color w:val="000000"/>
        </w:rPr>
      </w:pPr>
      <w:r>
        <w:rPr>
          <w:b/>
          <w:color w:val="000000"/>
        </w:rPr>
        <w:lastRenderedPageBreak/>
        <w:t>CONSIDERANDO</w:t>
      </w:r>
      <w:r>
        <w:rPr>
          <w:color w:val="000000"/>
        </w:rPr>
        <w:t xml:space="preserve"> que o Protocolo de Identificação do Paciente</w:t>
      </w:r>
      <w:r>
        <w:rPr>
          <w:rStyle w:val="Refdenotaderodap"/>
          <w:color w:val="000000"/>
        </w:rPr>
        <w:footnoteReference w:id="4"/>
      </w:r>
      <w:r>
        <w:rPr>
          <w:color w:val="000000"/>
        </w:rPr>
        <w:t xml:space="preserve"> tem como finalidade "garantir a correta identificação do paciente, a fim de reduzir a ocorrência de incidentes";</w:t>
      </w:r>
    </w:p>
    <w:p w14:paraId="481C68B8" w14:textId="2F8BE5FF" w:rsidR="00D86720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que, nos termos do referido protocolo, dentre outros:</w:t>
      </w:r>
    </w:p>
    <w:p w14:paraId="04EA46AB" w14:textId="77777777" w:rsidR="00D86720" w:rsidRDefault="00D86720" w:rsidP="00D86720">
      <w:pPr>
        <w:ind w:firstLine="1134"/>
        <w:jc w:val="both"/>
        <w:rPr>
          <w:color w:val="000000"/>
        </w:rPr>
      </w:pPr>
    </w:p>
    <w:p w14:paraId="2AA5D036" w14:textId="77777777" w:rsidR="00D86720" w:rsidRDefault="00D86720" w:rsidP="00D86720">
      <w:pPr>
        <w:ind w:left="1701"/>
        <w:jc w:val="both"/>
        <w:rPr>
          <w:color w:val="auto"/>
          <w:sz w:val="20"/>
        </w:rPr>
      </w:pPr>
      <w:r>
        <w:rPr>
          <w:color w:val="000000"/>
        </w:rPr>
        <w:t>1- "</w:t>
      </w:r>
      <w:r>
        <w:rPr>
          <w:i/>
          <w:color w:val="000000"/>
        </w:rPr>
        <w:t>A identificação de todos os pacientes deve ser realizada em sua admissão no serviço através de uma pulseira</w:t>
      </w:r>
      <w:r>
        <w:rPr>
          <w:color w:val="000000"/>
        </w:rPr>
        <w:t>";</w:t>
      </w:r>
    </w:p>
    <w:p w14:paraId="36316309" w14:textId="77777777" w:rsidR="00D86720" w:rsidRDefault="00D86720" w:rsidP="00D86720">
      <w:pPr>
        <w:ind w:left="1701"/>
        <w:jc w:val="both"/>
      </w:pPr>
      <w:r>
        <w:rPr>
          <w:color w:val="000000"/>
        </w:rPr>
        <w:t>2 - "</w:t>
      </w:r>
      <w:r>
        <w:rPr>
          <w:i/>
          <w:color w:val="000000"/>
        </w:rPr>
        <w:t>O serviço de saúde deve prever o que fazer caso a pulseira caia ou fique ilegível</w:t>
      </w:r>
      <w:r>
        <w:rPr>
          <w:color w:val="000000"/>
        </w:rPr>
        <w:t>";</w:t>
      </w:r>
    </w:p>
    <w:p w14:paraId="1FB12BAF" w14:textId="77777777" w:rsidR="00D86720" w:rsidRDefault="00D86720" w:rsidP="00D86720">
      <w:pPr>
        <w:ind w:left="1701"/>
        <w:jc w:val="both"/>
      </w:pPr>
      <w:r>
        <w:rPr>
          <w:color w:val="000000"/>
        </w:rPr>
        <w:t>3 - "</w:t>
      </w:r>
      <w:r>
        <w:rPr>
          <w:i/>
          <w:color w:val="000000"/>
        </w:rPr>
        <w:t>Utilizar no mínimo dois identificadores como: nome completo do paciente, nome completo da mãe do paciente, data de nascimento do paciente número de prontuário do paciente</w:t>
      </w:r>
      <w:r>
        <w:rPr>
          <w:color w:val="000000"/>
        </w:rPr>
        <w:t>";</w:t>
      </w:r>
    </w:p>
    <w:p w14:paraId="6AE5A320" w14:textId="77777777" w:rsidR="00D86720" w:rsidRDefault="00D86720" w:rsidP="00D86720">
      <w:pPr>
        <w:ind w:firstLine="1134"/>
        <w:jc w:val="both"/>
        <w:rPr>
          <w:color w:val="000000"/>
        </w:rPr>
      </w:pPr>
    </w:p>
    <w:p w14:paraId="0C925115" w14:textId="643D3E16" w:rsidR="000F4F1D" w:rsidRDefault="000F4F1D" w:rsidP="000F4F1D">
      <w:pPr>
        <w:spacing w:line="360" w:lineRule="auto"/>
        <w:ind w:firstLine="1701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observância das recomendações de segurança do paciente visa evitar danos e eventos adversos;</w:t>
      </w:r>
    </w:p>
    <w:p w14:paraId="55802C6E" w14:textId="77777777" w:rsidR="000F4F1D" w:rsidRDefault="00D86720" w:rsidP="000F4F1D">
      <w:pPr>
        <w:spacing w:line="360" w:lineRule="auto"/>
        <w:ind w:firstLine="1701"/>
        <w:jc w:val="both"/>
        <w:rPr>
          <w:color w:val="auto"/>
          <w:sz w:val="2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 a cartilha "10 Passos para a Segurança do Paciente", elaborada pelo COREN-SP e REBRAENSP</w:t>
      </w:r>
      <w:r>
        <w:rPr>
          <w:rStyle w:val="Refdenotaderodap"/>
          <w:color w:val="000000"/>
        </w:rPr>
        <w:footnoteReference w:id="5"/>
      </w:r>
      <w:r>
        <w:rPr>
          <w:color w:val="000000"/>
        </w:rPr>
        <w:t xml:space="preserve">, evidencia,  no Passo 1 – Identificação do Paciente que </w:t>
      </w:r>
      <w:r>
        <w:rPr>
          <w:i/>
          <w:color w:val="000000"/>
        </w:rPr>
        <w:t>"A identificação do paciente é prática indispensável para garantir a segurança do paciente em qualquer ambiente de cuidado à saúde, incluindo, por exemplo, unidades de pronto atendimento, coleta de exames laboratoriais, atendimento domiciliar e em ambulatórios. Erros de identificação podem acarretar sérias consequências para a segurança do paciente. Falhas na identificação do paciente podem resultar em erros de medicação, erros durante a transfusão de hemocomponentes, em testes diagnósticos, procedimentos realizados em pacientes errados e/ou em locais errados, entrega de bebês às famílias erradas, entre outros"</w:t>
      </w:r>
      <w:r>
        <w:rPr>
          <w:color w:val="000000"/>
        </w:rPr>
        <w:t>;</w:t>
      </w:r>
    </w:p>
    <w:p w14:paraId="062F48A2" w14:textId="31356342" w:rsidR="00D86720" w:rsidRDefault="00D86720" w:rsidP="000F4F1D">
      <w:pPr>
        <w:spacing w:line="360" w:lineRule="auto"/>
        <w:ind w:firstLine="1701"/>
        <w:jc w:val="both"/>
        <w:rPr>
          <w:color w:val="000000"/>
        </w:rPr>
      </w:pPr>
      <w:r>
        <w:rPr>
          <w:b/>
          <w:color w:val="000000"/>
        </w:rPr>
        <w:t>CONSIDERANDO</w:t>
      </w:r>
      <w:r>
        <w:rPr>
          <w:color w:val="000000"/>
        </w:rPr>
        <w:t xml:space="preserve"> que, embora estejamos vivenciando um estado de excepcionalidade, as medidas de segurança do paciente devem ser observadas;</w:t>
      </w:r>
    </w:p>
    <w:p w14:paraId="760FCA24" w14:textId="77777777" w:rsidR="000F4F1D" w:rsidRDefault="000F4F1D" w:rsidP="000F4F1D">
      <w:pPr>
        <w:spacing w:after="120" w:line="360" w:lineRule="auto"/>
        <w:ind w:firstLine="1701"/>
        <w:jc w:val="both"/>
      </w:pPr>
      <w:r w:rsidRPr="002622DA">
        <w:rPr>
          <w:rFonts w:cs="Times New Roman"/>
          <w:b/>
          <w:bCs/>
          <w:color w:val="auto"/>
          <w:lang w:eastAsia="pt-BR"/>
        </w:rPr>
        <w:t>CONSIDERANDO</w:t>
      </w:r>
      <w:r w:rsidRPr="002622DA">
        <w:rPr>
          <w:rFonts w:cs="Times New Roman"/>
          <w:color w:val="auto"/>
          <w:lang w:eastAsia="pt-BR"/>
        </w:rPr>
        <w:t xml:space="preserve"> o Procedimento Administrativo n.º ______________ instaurado para </w:t>
      </w:r>
      <w:r>
        <w:rPr>
          <w:rFonts w:eastAsia="Times New Roman" w:cs="Times New Roman"/>
          <w:color w:val="231F20"/>
          <w:lang w:eastAsia="pt-BR"/>
        </w:rPr>
        <w:t>____________________</w:t>
      </w:r>
      <w:r>
        <w:rPr>
          <w:rFonts w:cs="Times New Roman"/>
          <w:color w:val="70AD47" w:themeColor="accent6"/>
          <w:lang w:eastAsia="pt-BR"/>
        </w:rPr>
        <w:t>;</w:t>
      </w:r>
    </w:p>
    <w:p w14:paraId="6D35A7E4" w14:textId="309D06F3" w:rsidR="000F4F1D" w:rsidRPr="000F4F1D" w:rsidRDefault="00D86720" w:rsidP="000F4F1D">
      <w:pPr>
        <w:spacing w:after="120" w:line="360" w:lineRule="auto"/>
        <w:ind w:firstLine="1701"/>
        <w:jc w:val="both"/>
        <w:rPr>
          <w:bCs/>
          <w:color w:val="000000"/>
        </w:rPr>
      </w:pPr>
      <w:r>
        <w:rPr>
          <w:b/>
          <w:color w:val="000000"/>
        </w:rPr>
        <w:t xml:space="preserve">RECOMENDA </w:t>
      </w:r>
      <w:r w:rsidRPr="000F4F1D">
        <w:rPr>
          <w:bCs/>
          <w:color w:val="000000"/>
        </w:rPr>
        <w:t>à Secret</w:t>
      </w:r>
      <w:r w:rsidR="000F4F1D">
        <w:rPr>
          <w:bCs/>
          <w:color w:val="000000"/>
        </w:rPr>
        <w:t>a</w:t>
      </w:r>
      <w:r w:rsidRPr="000F4F1D">
        <w:rPr>
          <w:bCs/>
          <w:color w:val="000000"/>
        </w:rPr>
        <w:t xml:space="preserve">ria de Saúde do Município </w:t>
      </w:r>
      <w:r w:rsidR="000F4F1D" w:rsidRPr="000F4F1D">
        <w:rPr>
          <w:bCs/>
          <w:color w:val="000000"/>
        </w:rPr>
        <w:t xml:space="preserve">de ________________ </w:t>
      </w:r>
      <w:r w:rsidRPr="000F4F1D">
        <w:rPr>
          <w:bCs/>
          <w:color w:val="000000"/>
        </w:rPr>
        <w:t xml:space="preserve">que adote providências para garantir que: </w:t>
      </w:r>
    </w:p>
    <w:p w14:paraId="6BE491EE" w14:textId="5EBB3B16" w:rsidR="000F4F1D" w:rsidRPr="000F4F1D" w:rsidRDefault="00D86720" w:rsidP="000F4F1D">
      <w:pPr>
        <w:spacing w:after="120" w:line="360" w:lineRule="auto"/>
        <w:ind w:firstLine="1701"/>
        <w:jc w:val="both"/>
        <w:rPr>
          <w:bCs/>
          <w:color w:val="000000"/>
        </w:rPr>
      </w:pPr>
      <w:r w:rsidRPr="000F4F1D">
        <w:rPr>
          <w:bCs/>
          <w:color w:val="000000"/>
        </w:rPr>
        <w:lastRenderedPageBreak/>
        <w:t>1) todos os hospitais apresentem o plano de segurança do paciente e os seus respectivos protocolos, inclusive em relação aos pacientes de COVID</w:t>
      </w:r>
      <w:r w:rsidR="000F4F1D">
        <w:rPr>
          <w:bCs/>
          <w:color w:val="000000"/>
        </w:rPr>
        <w:t>-</w:t>
      </w:r>
      <w:r w:rsidRPr="000F4F1D">
        <w:rPr>
          <w:bCs/>
          <w:color w:val="000000"/>
        </w:rPr>
        <w:t xml:space="preserve">19; </w:t>
      </w:r>
    </w:p>
    <w:p w14:paraId="570C23AD" w14:textId="77777777" w:rsidR="000F4F1D" w:rsidRPr="000F4F1D" w:rsidRDefault="00D86720" w:rsidP="000F4F1D">
      <w:pPr>
        <w:spacing w:after="120" w:line="360" w:lineRule="auto"/>
        <w:ind w:firstLine="1701"/>
        <w:jc w:val="both"/>
        <w:rPr>
          <w:bCs/>
          <w:color w:val="000000"/>
        </w:rPr>
      </w:pPr>
      <w:r w:rsidRPr="000F4F1D">
        <w:rPr>
          <w:bCs/>
          <w:color w:val="000000"/>
        </w:rPr>
        <w:t xml:space="preserve">2) seja informado quais hospitais tem núcleo de segurança do paciente, qual a sua composição e regulamentação e protocolos adotados; </w:t>
      </w:r>
    </w:p>
    <w:p w14:paraId="72FE9739" w14:textId="77777777" w:rsidR="000F4F1D" w:rsidRDefault="000F4F1D" w:rsidP="000F4F1D">
      <w:pPr>
        <w:spacing w:after="120" w:line="360" w:lineRule="auto"/>
        <w:ind w:firstLine="1701"/>
        <w:jc w:val="both"/>
        <w:rPr>
          <w:bCs/>
          <w:color w:val="000000"/>
        </w:rPr>
      </w:pPr>
      <w:r w:rsidRPr="000F4F1D">
        <w:rPr>
          <w:bCs/>
          <w:color w:val="000000"/>
        </w:rPr>
        <w:t>3</w:t>
      </w:r>
      <w:r w:rsidR="00D86720" w:rsidRPr="000F4F1D">
        <w:rPr>
          <w:bCs/>
          <w:color w:val="000000"/>
        </w:rPr>
        <w:t xml:space="preserve">) os usuários do sistema público de saúde de </w:t>
      </w:r>
      <w:r w:rsidRPr="000F4F1D">
        <w:rPr>
          <w:bCs/>
          <w:color w:val="000000"/>
        </w:rPr>
        <w:t>______________</w:t>
      </w:r>
      <w:r w:rsidR="00D86720" w:rsidRPr="000F4F1D">
        <w:rPr>
          <w:bCs/>
          <w:color w:val="000000"/>
        </w:rPr>
        <w:t xml:space="preserve"> sejam identificados no momento da internação por, no mínimo, </w:t>
      </w:r>
      <w:r w:rsidR="00D86720" w:rsidRPr="000F4F1D">
        <w:rPr>
          <w:b/>
          <w:color w:val="000000"/>
        </w:rPr>
        <w:t>pulseira de identificação</w:t>
      </w:r>
      <w:r w:rsidR="00D86720" w:rsidRPr="000F4F1D">
        <w:rPr>
          <w:bCs/>
          <w:color w:val="000000"/>
        </w:rPr>
        <w:t xml:space="preserve"> (com pelo menos o nome do paciente e data de nascimento) e </w:t>
      </w:r>
      <w:r w:rsidR="00D86720" w:rsidRPr="000F4F1D">
        <w:rPr>
          <w:b/>
          <w:color w:val="000000"/>
        </w:rPr>
        <w:t>placa de identificação junto ao leito</w:t>
      </w:r>
      <w:r w:rsidR="00D86720" w:rsidRPr="000F4F1D">
        <w:rPr>
          <w:bCs/>
          <w:color w:val="000000"/>
        </w:rPr>
        <w:t>, com a finalidade de prom</w:t>
      </w:r>
      <w:r w:rsidRPr="000F4F1D">
        <w:rPr>
          <w:bCs/>
          <w:color w:val="000000"/>
        </w:rPr>
        <w:t xml:space="preserve">over </w:t>
      </w:r>
      <w:r w:rsidR="00D86720" w:rsidRPr="000F4F1D">
        <w:rPr>
          <w:bCs/>
          <w:color w:val="000000"/>
        </w:rPr>
        <w:t>a segurança do paciente nos serviços de saúde, evitando eventuais danos e adversidades.</w:t>
      </w:r>
    </w:p>
    <w:p w14:paraId="179F1E54" w14:textId="77777777" w:rsidR="000F4F1D" w:rsidRDefault="000F4F1D" w:rsidP="000F4F1D">
      <w:pPr>
        <w:spacing w:line="360" w:lineRule="auto"/>
        <w:ind w:firstLine="1701"/>
        <w:jc w:val="both"/>
        <w:rPr>
          <w:rFonts w:eastAsia="Times New Roman" w:cs="Times New Roman"/>
        </w:rPr>
      </w:pPr>
      <w:r w:rsidRPr="007F3349">
        <w:rPr>
          <w:rFonts w:eastAsia="Times New Roman" w:cs="Times New Roman"/>
        </w:rPr>
        <w:t xml:space="preserve">Requisite-se, na forma do artigo 27, parágrafo único, inciso IV da Lei nº8.625/93, </w:t>
      </w:r>
      <w:r>
        <w:rPr>
          <w:rFonts w:eastAsia="Times New Roman" w:cs="Times New Roman"/>
        </w:rPr>
        <w:t>à Secretaria Municipal de Saúde</w:t>
      </w:r>
      <w:r>
        <w:rPr>
          <w:rFonts w:eastAsia="Times New Roman" w:cs="Times New Roman"/>
        </w:rPr>
        <w:t xml:space="preserve"> </w:t>
      </w:r>
      <w:r w:rsidRPr="007F3349">
        <w:rPr>
          <w:rFonts w:eastAsia="Times New Roman" w:cs="Times New Roman"/>
        </w:rPr>
        <w:t xml:space="preserve">para que, no prazo de </w:t>
      </w:r>
      <w:r>
        <w:rPr>
          <w:rFonts w:eastAsia="Times New Roman" w:cs="Times New Roman"/>
        </w:rPr>
        <w:t>05</w:t>
      </w:r>
      <w:r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>cinco</w:t>
      </w:r>
      <w:r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dias</w:t>
      </w:r>
      <w:r w:rsidRPr="007F3349">
        <w:rPr>
          <w:rFonts w:eastAsia="Times New Roman" w:cs="Times New Roman"/>
        </w:rPr>
        <w:t>, comunique a esta P</w:t>
      </w:r>
      <w:r>
        <w:rPr>
          <w:rFonts w:eastAsia="Times New Roman" w:cs="Times New Roman"/>
        </w:rPr>
        <w:t>r</w:t>
      </w:r>
      <w:r w:rsidRPr="007F3349">
        <w:rPr>
          <w:rFonts w:eastAsia="Times New Roman" w:cs="Times New Roman"/>
        </w:rPr>
        <w:t xml:space="preserve">omotoria, através do e-mail </w:t>
      </w:r>
      <w:r>
        <w:rPr>
          <w:rFonts w:eastAsia="Times New Roman" w:cs="Times New Roman"/>
        </w:rPr>
        <w:t>______________________</w:t>
      </w:r>
      <w:r w:rsidRPr="007F3349">
        <w:rPr>
          <w:rFonts w:eastAsia="Times New Roman" w:cs="Times New Roman"/>
        </w:rPr>
        <w:t xml:space="preserve">  as providências adotadas para cumprimento desta RECOMENDAÇÃO.</w:t>
      </w:r>
    </w:p>
    <w:p w14:paraId="4F8F4420" w14:textId="3D1CDEE0" w:rsidR="00D86720" w:rsidRPr="000F4F1D" w:rsidRDefault="00D86720" w:rsidP="000F4F1D">
      <w:pPr>
        <w:spacing w:line="360" w:lineRule="auto"/>
        <w:ind w:firstLine="1701"/>
        <w:jc w:val="both"/>
        <w:rPr>
          <w:rFonts w:eastAsia="Times New Roman" w:cs="Times New Roman"/>
        </w:rPr>
      </w:pPr>
      <w:r>
        <w:rPr>
          <w:color w:val="000000"/>
        </w:rPr>
        <w:t>Dê-se ciência, ainda, ao CAOCIDADANIA, bem como se providencie publicação da presente RECOMENDAÇÃO.</w:t>
      </w:r>
    </w:p>
    <w:p w14:paraId="2F7E4A89" w14:textId="4E5B4605" w:rsidR="00835D6B" w:rsidRDefault="00835D6B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</w:p>
    <w:p w14:paraId="1E9A0EED" w14:textId="77777777" w:rsidR="000F4F1D" w:rsidRDefault="000F4F1D">
      <w:pPr>
        <w:spacing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</w:p>
    <w:p w14:paraId="1AFE457C" w14:textId="77777777" w:rsidR="00835D6B" w:rsidRPr="00656B60" w:rsidRDefault="005A212B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Município, data.</w:t>
      </w:r>
    </w:p>
    <w:p w14:paraId="27BC661D" w14:textId="77777777" w:rsidR="00835D6B" w:rsidRPr="00656B60" w:rsidRDefault="005A212B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56B60">
        <w:rPr>
          <w:rFonts w:eastAsia="Times New Roman" w:cs="Times New Roman"/>
          <w:color w:val="auto"/>
        </w:rPr>
        <w:t>Promotor de Justiça</w:t>
      </w:r>
    </w:p>
    <w:p w14:paraId="01A625A1" w14:textId="77777777" w:rsidR="00835D6B" w:rsidRDefault="00835D6B">
      <w:pPr>
        <w:spacing w:line="360" w:lineRule="atLeast"/>
        <w:ind w:firstLine="1701"/>
        <w:jc w:val="center"/>
        <w:rPr>
          <w:rFonts w:eastAsia="Times New Roman" w:cs="Times New Roman"/>
          <w:color w:val="70AD47"/>
        </w:rPr>
      </w:pPr>
    </w:p>
    <w:p w14:paraId="5DFE42B7" w14:textId="77777777" w:rsidR="00835D6B" w:rsidRDefault="00835D6B">
      <w:pPr>
        <w:spacing w:line="360" w:lineRule="auto"/>
        <w:ind w:firstLine="1701"/>
        <w:jc w:val="both"/>
        <w:rPr>
          <w:rFonts w:eastAsia="Times New Roman" w:cs="Times New Roman"/>
        </w:rPr>
      </w:pPr>
    </w:p>
    <w:sectPr w:rsidR="00835D6B">
      <w:headerReference w:type="default" r:id="rId8"/>
      <w:footerReference w:type="default" r:id="rId9"/>
      <w:pgSz w:w="11906" w:h="16838"/>
      <w:pgMar w:top="3119" w:right="1134" w:bottom="1134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F88DC" w14:textId="77777777" w:rsidR="00804C9D" w:rsidRDefault="00804C9D">
      <w:pPr>
        <w:spacing w:line="240" w:lineRule="auto"/>
      </w:pPr>
      <w:r>
        <w:separator/>
      </w:r>
    </w:p>
  </w:endnote>
  <w:endnote w:type="continuationSeparator" w:id="0">
    <w:p w14:paraId="0CFE1360" w14:textId="77777777" w:rsidR="00804C9D" w:rsidRDefault="00804C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, 宋体">
    <w:altName w:val="SimSu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, 'Gentium Basic'"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charset w:val="00"/>
    <w:family w:val="roman"/>
    <w:pitch w:val="default"/>
  </w:font>
  <w:font w:name="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2A92B" w14:textId="77777777" w:rsidR="00E02350" w:rsidRDefault="00804C9D">
    <w:pPr>
      <w:pStyle w:val="Rodap"/>
    </w:pPr>
  </w:p>
  <w:p w14:paraId="13F08022" w14:textId="77777777" w:rsidR="00E02350" w:rsidRDefault="005A212B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0C7063F5" w14:textId="77777777" w:rsidR="00E02350" w:rsidRDefault="005A212B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Internetlink"/>
        <w:rFonts w:ascii="Arial" w:hAnsi="Arial" w:cs="Arial"/>
        <w:sz w:val="16"/>
        <w:szCs w:val="16"/>
        <w:u w:val="none"/>
      </w:rPr>
      <w:t>contato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0C3A8" w14:textId="77777777" w:rsidR="00804C9D" w:rsidRDefault="00804C9D">
      <w:pPr>
        <w:spacing w:line="240" w:lineRule="auto"/>
      </w:pPr>
      <w:r>
        <w:separator/>
      </w:r>
    </w:p>
  </w:footnote>
  <w:footnote w:type="continuationSeparator" w:id="0">
    <w:p w14:paraId="632B7A7D" w14:textId="77777777" w:rsidR="00804C9D" w:rsidRDefault="00804C9D">
      <w:pPr>
        <w:spacing w:line="240" w:lineRule="auto"/>
      </w:pPr>
      <w:r>
        <w:continuationSeparator/>
      </w:r>
    </w:p>
  </w:footnote>
  <w:footnote w:id="1">
    <w:p w14:paraId="05FC6565" w14:textId="77777777" w:rsidR="00D86720" w:rsidRDefault="00D86720" w:rsidP="00D86720">
      <w:pPr>
        <w:pStyle w:val="Textodenotaderodap"/>
        <w:rPr>
          <w:lang w:val="en-US"/>
        </w:rPr>
      </w:pPr>
      <w:r>
        <w:rPr>
          <w:rStyle w:val="Caracteresdenotaderodap"/>
        </w:rPr>
        <w:footnoteRef/>
      </w:r>
      <w:r>
        <w:t xml:space="preserve"> </w:t>
      </w:r>
      <w:hyperlink r:id="rId1" w:history="1">
        <w:r>
          <w:rPr>
            <w:rStyle w:val="Hyperlink"/>
            <w:color w:val="auto"/>
          </w:rPr>
          <w:t>https://bvsms.saude.gov.br/bvs/saudelegis/gm/2013/prt0529_01_04_2013.html</w:t>
        </w:r>
      </w:hyperlink>
    </w:p>
  </w:footnote>
  <w:footnote w:id="2">
    <w:p w14:paraId="3ECA776F" w14:textId="77777777" w:rsidR="00D86720" w:rsidRDefault="00D86720" w:rsidP="00D86720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  <w:hyperlink r:id="rId2" w:history="1">
        <w:r>
          <w:rPr>
            <w:rStyle w:val="Hyperlink"/>
            <w:color w:val="auto"/>
          </w:rPr>
          <w:t>https://bvsms.saude.gov.br/bvs/saudelegis/anvisa/2013/rdc0036_25_07_2013.html</w:t>
        </w:r>
      </w:hyperlink>
    </w:p>
  </w:footnote>
  <w:footnote w:id="3">
    <w:p w14:paraId="7854A973" w14:textId="77777777" w:rsidR="00D86720" w:rsidRDefault="00D86720" w:rsidP="00D86720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  <w:hyperlink r:id="rId3" w:history="1">
        <w:r>
          <w:rPr>
            <w:rStyle w:val="Hyperlink"/>
            <w:color w:val="auto"/>
          </w:rPr>
          <w:t>https://bvsms.saude.gov.br/bvs/saudelegis/gm/2013/prt1377_09_07_2013.html</w:t>
        </w:r>
      </w:hyperlink>
    </w:p>
  </w:footnote>
  <w:footnote w:id="4">
    <w:p w14:paraId="62F58F98" w14:textId="77777777" w:rsidR="00D86720" w:rsidRDefault="00D86720" w:rsidP="00D86720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  <w:hyperlink r:id="rId4" w:history="1">
        <w:r>
          <w:rPr>
            <w:rStyle w:val="Hyperlink"/>
            <w:color w:val="auto"/>
          </w:rPr>
          <w:t>https://www20.anvisa.gov.br/segurancadopaciente/index.php/publicacoes/item/identificacao-do-paciente</w:t>
        </w:r>
      </w:hyperlink>
    </w:p>
  </w:footnote>
  <w:footnote w:id="5">
    <w:p w14:paraId="0192ACF0" w14:textId="77777777" w:rsidR="00D86720" w:rsidRDefault="00D86720" w:rsidP="00D86720">
      <w:pPr>
        <w:pStyle w:val="Textodenotaderodap"/>
      </w:pPr>
      <w:r>
        <w:rPr>
          <w:rStyle w:val="Caracteresdenotaderodap"/>
        </w:rPr>
        <w:footnoteRef/>
      </w:r>
      <w:r>
        <w:t xml:space="preserve"> </w:t>
      </w:r>
      <w:hyperlink r:id="rId5" w:history="1">
        <w:r>
          <w:rPr>
            <w:rStyle w:val="Hyperlink"/>
            <w:color w:val="auto"/>
          </w:rPr>
          <w:t>https://portal.coren-sp.gov.br/sites/default/files/10_passos_seguranca_paciente_0.pdf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0C40" w14:textId="77777777" w:rsidR="00E02350" w:rsidRDefault="005A212B">
    <w:pPr>
      <w:pStyle w:val="Textbody"/>
    </w:pPr>
    <w:r>
      <w:object w:dxaOrig="5189" w:dyaOrig="478" w14:anchorId="655538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57.5pt;height:42pt;visibility:visible;mso-wrap-style:square">
          <v:imagedata r:id="rId1" o:title=""/>
        </v:shape>
        <o:OLEObject Type="Embed" ProgID="Unknown" ShapeID="ole_rId1" DrawAspect="Content" ObjectID="_1651996859" r:id="rId2"/>
      </w:object>
    </w:r>
  </w:p>
  <w:p w14:paraId="408CF207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7A2DDD44" w14:textId="77777777" w:rsidR="00E02350" w:rsidRDefault="005A212B">
    <w:pPr>
      <w:pStyle w:val="Textbody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" w15:restartNumberingAfterBreak="0">
    <w:nsid w:val="10413339"/>
    <w:multiLevelType w:val="hybridMultilevel"/>
    <w:tmpl w:val="B33809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4383"/>
    <w:multiLevelType w:val="hybridMultilevel"/>
    <w:tmpl w:val="9594F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B445F"/>
    <w:multiLevelType w:val="hybridMultilevel"/>
    <w:tmpl w:val="4FACC9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C6436"/>
    <w:multiLevelType w:val="hybridMultilevel"/>
    <w:tmpl w:val="215C16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69FD"/>
    <w:multiLevelType w:val="hybridMultilevel"/>
    <w:tmpl w:val="107CD15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116D8"/>
    <w:multiLevelType w:val="hybridMultilevel"/>
    <w:tmpl w:val="48BA67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023A"/>
    <w:multiLevelType w:val="hybridMultilevel"/>
    <w:tmpl w:val="B25AB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B5CD91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6B"/>
    <w:rsid w:val="000F4F1D"/>
    <w:rsid w:val="0012020D"/>
    <w:rsid w:val="001517D8"/>
    <w:rsid w:val="00154AF9"/>
    <w:rsid w:val="00176EF2"/>
    <w:rsid w:val="0018790B"/>
    <w:rsid w:val="002046FB"/>
    <w:rsid w:val="002B1622"/>
    <w:rsid w:val="00393199"/>
    <w:rsid w:val="004214A0"/>
    <w:rsid w:val="00447AA5"/>
    <w:rsid w:val="004E147D"/>
    <w:rsid w:val="00531BF8"/>
    <w:rsid w:val="005A212B"/>
    <w:rsid w:val="005F5302"/>
    <w:rsid w:val="00656B60"/>
    <w:rsid w:val="007161E5"/>
    <w:rsid w:val="007572D6"/>
    <w:rsid w:val="007A1CDB"/>
    <w:rsid w:val="007D4D0C"/>
    <w:rsid w:val="007F3349"/>
    <w:rsid w:val="00804C9D"/>
    <w:rsid w:val="00824D74"/>
    <w:rsid w:val="00835D6B"/>
    <w:rsid w:val="008B48E4"/>
    <w:rsid w:val="008F1CF8"/>
    <w:rsid w:val="008F2EDA"/>
    <w:rsid w:val="009206C7"/>
    <w:rsid w:val="009A1304"/>
    <w:rsid w:val="009A31AB"/>
    <w:rsid w:val="00A07D30"/>
    <w:rsid w:val="00B41F24"/>
    <w:rsid w:val="00BB4FC7"/>
    <w:rsid w:val="00C01B5E"/>
    <w:rsid w:val="00CB3441"/>
    <w:rsid w:val="00CC42A3"/>
    <w:rsid w:val="00D86720"/>
    <w:rsid w:val="00DA5E50"/>
    <w:rsid w:val="00DD6986"/>
    <w:rsid w:val="00DE0273"/>
    <w:rsid w:val="00E33EDA"/>
    <w:rsid w:val="00ED071D"/>
    <w:rsid w:val="00EF1365"/>
    <w:rsid w:val="00F2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FBFE3"/>
  <w15:docId w15:val="{F224346D-5BFD-45A1-9FC2-14578DFC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styleId="Ttulo1">
    <w:name w:val="heading 1"/>
    <w:basedOn w:val="Heading"/>
    <w:uiPriority w:val="9"/>
    <w:qFormat/>
    <w:pPr>
      <w:jc w:val="left"/>
      <w:outlineLvl w:val="0"/>
    </w:pPr>
    <w:rPr>
      <w:sz w:val="20"/>
      <w:szCs w:val="24"/>
    </w:rPr>
  </w:style>
  <w:style w:type="paragraph" w:styleId="Ttulo2">
    <w:name w:val="heading 2"/>
    <w:basedOn w:val="Heading"/>
    <w:uiPriority w:val="9"/>
    <w:semiHidden/>
    <w:unhideWhenUsed/>
    <w:qFormat/>
    <w:pPr>
      <w:jc w:val="left"/>
      <w:outlineLvl w:val="1"/>
    </w:pPr>
    <w:rPr>
      <w:i/>
      <w:iCs/>
      <w:sz w:val="20"/>
      <w:szCs w:val="24"/>
    </w:rPr>
  </w:style>
  <w:style w:type="paragraph" w:styleId="Ttulo3">
    <w:name w:val="heading 3"/>
    <w:basedOn w:val="Heading"/>
    <w:uiPriority w:val="9"/>
    <w:semiHidden/>
    <w:unhideWhenUsed/>
    <w:qFormat/>
    <w:pPr>
      <w:jc w:val="left"/>
      <w:outlineLvl w:val="2"/>
    </w:pPr>
    <w:rPr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Mangal, 'Gentium Basic'"/>
      <w:color w:val="00000A"/>
      <w:kern w:val="3"/>
      <w:sz w:val="24"/>
    </w:rPr>
  </w:style>
  <w:style w:type="paragraph" w:customStyle="1" w:styleId="Heading">
    <w:name w:val="Heading"/>
    <w:basedOn w:val="Normal"/>
    <w:next w:val="Textbody"/>
    <w:pPr>
      <w:jc w:val="center"/>
    </w:pPr>
    <w:rPr>
      <w:rFonts w:ascii="Liberation Serif" w:eastAsia="SimSun" w:hAnsi="Liberation Serif" w:cs="Arial"/>
      <w:b/>
      <w:bCs/>
      <w:kern w:val="0"/>
      <w:sz w:val="36"/>
      <w:szCs w:val="36"/>
    </w:rPr>
  </w:style>
  <w:style w:type="paragraph" w:customStyle="1" w:styleId="Textbody">
    <w:name w:val="Text body"/>
    <w:basedOn w:val="Normal"/>
    <w:pPr>
      <w:spacing w:after="57"/>
    </w:pPr>
  </w:style>
  <w:style w:type="paragraph" w:styleId="Lista">
    <w:name w:val="List"/>
    <w:basedOn w:val="Textbody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tulo10">
    <w:name w:val="Título1"/>
    <w:basedOn w:val="Normal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</w:pPr>
    <w:rPr>
      <w:rFonts w:ascii="Times New Roman" w:eastAsia="SimSun, 宋体" w:hAnsi="Times New Roman" w:cs="Mangal"/>
      <w:color w:val="00000A"/>
      <w:kern w:val="3"/>
      <w:sz w:val="24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pPr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  <w:rPr>
      <w:rFonts w:ascii="Liberation Serif" w:eastAsia="SimSun" w:hAnsi="Liberation Serif" w:cs="Arial"/>
      <w:kern w:val="0"/>
      <w:sz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notaderodap">
    <w:name w:val="footnote text"/>
    <w:basedOn w:val="Normal"/>
    <w:link w:val="TextodenotaderodapChar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uiPriority w:val="99"/>
    <w:pPr>
      <w:widowControl/>
      <w:spacing w:before="280" w:after="280"/>
    </w:pPr>
    <w:rPr>
      <w:lang w:eastAsia="pt-BR"/>
    </w:rPr>
  </w:style>
  <w:style w:type="paragraph" w:styleId="PargrafodaLista">
    <w:name w:val="List Paragraph"/>
    <w:basedOn w:val="Normal"/>
    <w:uiPriority w:val="34"/>
    <w:qFormat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Textbody"/>
    <w:pPr>
      <w:widowControl/>
      <w:spacing w:after="120" w:line="276" w:lineRule="auto"/>
      <w:ind w:left="283"/>
    </w:pPr>
    <w:rPr>
      <w:rFonts w:eastAsia="Wingdings" w:cs="Symbol"/>
    </w:rPr>
  </w:style>
  <w:style w:type="paragraph" w:customStyle="1" w:styleId="NormalArial">
    <w:name w:val="Normal + Arial"/>
    <w:pPr>
      <w:suppressAutoHyphens/>
      <w:spacing w:line="360" w:lineRule="auto"/>
    </w:pPr>
    <w:rPr>
      <w:rFonts w:ascii="Arial" w:eastAsia="Arial" w:hAnsi="Arial" w:cs="Wingdings"/>
      <w:color w:val="00000A"/>
      <w:kern w:val="3"/>
      <w:sz w:val="24"/>
    </w:rPr>
  </w:style>
  <w:style w:type="paragraph" w:styleId="SemEspaamento">
    <w:name w:val="No Spacing"/>
    <w:pPr>
      <w:suppressAutoHyphens/>
    </w:pPr>
    <w:rPr>
      <w:rFonts w:ascii="Times New Roman" w:eastAsia="Arial" w:hAnsi="Times New Roman" w:cs="Wingdings"/>
      <w:color w:val="00000A"/>
      <w:kern w:val="3"/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1">
    <w:name w:val="WW8Num2z1"/>
    <w:rPr>
      <w:rFonts w:ascii="Symbol" w:eastAsia="Symbol" w:hAnsi="Symbol" w:cs="Symbol"/>
      <w:lang w:val="pt-BR" w:eastAsia="pt-BR" w:bidi="pt-B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basedOn w:val="Fontepargpadro"/>
    <w:rPr>
      <w:b/>
      <w:bCs/>
    </w:rPr>
  </w:style>
  <w:style w:type="character" w:customStyle="1" w:styleId="normaltextrunscx168548192">
    <w:name w:val="normaltextrun scx168548192"/>
    <w:basedOn w:val="Fontepargpadro"/>
  </w:style>
  <w:style w:type="character" w:customStyle="1" w:styleId="spellingerrorscx168548192">
    <w:name w:val="spellingerror scx168548192"/>
    <w:basedOn w:val="Fontepargpadro"/>
  </w:style>
  <w:style w:type="character" w:styleId="nfase">
    <w:name w:val="Emphasis"/>
    <w:rPr>
      <w:i/>
      <w:iCs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Footnoteanchor">
    <w:name w:val="Footnote anchor"/>
    <w:rPr>
      <w:rFonts w:cs="Times New Roman"/>
      <w:position w:val="0"/>
      <w:vertAlign w:val="superscript"/>
    </w:rPr>
  </w:style>
  <w:style w:type="character" w:customStyle="1" w:styleId="FootnoteCharacters">
    <w:name w:val="Footnote Characters"/>
    <w:basedOn w:val="Fontepargpadro"/>
    <w:rPr>
      <w:rFonts w:cs="Times New Roman"/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cteresdenotadefim">
    <w:name w:val="WW-Caracteres de nota de fim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ListLabel1">
    <w:name w:val="ListLabel 1"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rPr>
      <w:lang w:val="pt-BR" w:eastAsia="pt-BR" w:bidi="pt-BR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rFonts w:cs="Symbol"/>
      <w:lang w:val="pt-BR" w:eastAsia="pt-BR" w:bidi="pt-BR"/>
    </w:rPr>
  </w:style>
  <w:style w:type="character" w:customStyle="1" w:styleId="ListLabel5">
    <w:name w:val="ListLabel 5"/>
    <w:rPr>
      <w:rFonts w:cs="Symbol"/>
      <w:lang w:val="pt-BR" w:eastAsia="pt-BR" w:bidi="pt-BR"/>
    </w:rPr>
  </w:style>
  <w:style w:type="character" w:customStyle="1" w:styleId="ListLabel6">
    <w:name w:val="ListLabel 6"/>
    <w:rPr>
      <w:rFonts w:cs="Symbol"/>
      <w:lang w:val="pt-BR" w:eastAsia="pt-BR" w:bidi="pt-BR"/>
    </w:rPr>
  </w:style>
  <w:style w:type="character" w:customStyle="1" w:styleId="ListLabel7">
    <w:name w:val="ListLabel 7"/>
    <w:rPr>
      <w:rFonts w:cs="Symbol"/>
      <w:lang w:val="pt-BR" w:eastAsia="pt-BR" w:bidi="pt-BR"/>
    </w:rPr>
  </w:style>
  <w:style w:type="character" w:customStyle="1" w:styleId="ListLabel8">
    <w:name w:val="ListLabel 8"/>
    <w:rPr>
      <w:rFonts w:cs="Symbol"/>
      <w:lang w:val="pt-BR" w:eastAsia="pt-BR" w:bidi="pt-BR"/>
    </w:rPr>
  </w:style>
  <w:style w:type="character" w:customStyle="1" w:styleId="ListLabel9">
    <w:name w:val="ListLabel 9"/>
    <w:rPr>
      <w:rFonts w:cs="Symbol"/>
      <w:lang w:val="pt-BR" w:eastAsia="pt-BR" w:bidi="pt-BR"/>
    </w:rPr>
  </w:style>
  <w:style w:type="character" w:customStyle="1" w:styleId="ListLabel10">
    <w:name w:val="ListLabel 10"/>
    <w:rPr>
      <w:rFonts w:cs="Symbol"/>
      <w:lang w:val="pt-BR" w:eastAsia="pt-BR" w:bidi="pt-BR"/>
    </w:rPr>
  </w:style>
  <w:style w:type="character" w:customStyle="1" w:styleId="ListLabel11">
    <w:name w:val="ListLabel 11"/>
    <w:rPr>
      <w:rFonts w:cs="Symbol"/>
      <w:lang w:val="pt-BR" w:eastAsia="pt-BR" w:bidi="pt-BR"/>
    </w:rPr>
  </w:style>
  <w:style w:type="character" w:customStyle="1" w:styleId="ListLabel12">
    <w:name w:val="ListLabel 12"/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rPr>
      <w:color w:val="0563C1"/>
      <w:u w:val="single"/>
    </w:rPr>
  </w:style>
  <w:style w:type="paragraph" w:customStyle="1" w:styleId="pwestern">
    <w:name w:val="p.western"/>
    <w:uiPriority w:val="99"/>
    <w:rsid w:val="004E147D"/>
    <w:pPr>
      <w:autoSpaceDE w:val="0"/>
      <w:adjustRightInd w:val="0"/>
      <w:textAlignment w:val="auto"/>
    </w:pPr>
    <w:rPr>
      <w:rFonts w:ascii="serif" w:eastAsiaTheme="minorHAnsi" w:hAnsi="serif" w:cs="serif"/>
      <w:sz w:val="24"/>
      <w:lang w:eastAsia="en-US" w:bidi="ar-SA"/>
    </w:rPr>
  </w:style>
  <w:style w:type="paragraph" w:customStyle="1" w:styleId="p">
    <w:name w:val="p"/>
    <w:uiPriority w:val="99"/>
    <w:rsid w:val="00F20FB7"/>
    <w:pPr>
      <w:autoSpaceDE w:val="0"/>
      <w:adjustRightInd w:val="0"/>
      <w:spacing w:after="57" w:line="102" w:lineRule="atLeast"/>
      <w:textAlignment w:val="auto"/>
    </w:pPr>
    <w:rPr>
      <w:rFonts w:ascii="Times New Roman" w:eastAsiaTheme="minorHAnsi" w:hAnsi="Times New Roman" w:cs="Times New Roman"/>
      <w:color w:val="00000A"/>
      <w:sz w:val="24"/>
      <w:lang w:eastAsia="en-US" w:bidi="ar-SA"/>
    </w:rPr>
  </w:style>
  <w:style w:type="character" w:styleId="HiperlinkVisitado">
    <w:name w:val="FollowedHyperlink"/>
    <w:basedOn w:val="Fontepargpadro"/>
    <w:uiPriority w:val="99"/>
    <w:semiHidden/>
    <w:unhideWhenUsed/>
    <w:rsid w:val="00447AA5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semiHidden/>
    <w:unhideWhenUsed/>
    <w:rsid w:val="00447AA5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A07D30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rsid w:val="00D86720"/>
    <w:rPr>
      <w:rFonts w:ascii="Times New Roman" w:eastAsia="SimSun, 宋体" w:hAnsi="Times New Roman" w:cs="Mangal"/>
      <w:color w:val="00000A"/>
      <w:kern w:val="3"/>
      <w:szCs w:val="20"/>
    </w:rPr>
  </w:style>
  <w:style w:type="character" w:customStyle="1" w:styleId="Caracteresdenotaderodap">
    <w:name w:val="Caracteres de nota de rodapé"/>
    <w:rsid w:val="00D8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vsms.saude.gov.br/bvs/saudelegis/gm/2013/prt1377_09_07_2013.html" TargetMode="External"/><Relationship Id="rId2" Type="http://schemas.openxmlformats.org/officeDocument/2006/relationships/hyperlink" Target="https://bvsms.saude.gov.br/bvs/saudelegis/anvisa/2013/rdc0036_25_07_2013.html" TargetMode="External"/><Relationship Id="rId1" Type="http://schemas.openxmlformats.org/officeDocument/2006/relationships/hyperlink" Target="https://bvsms.saude.gov.br/bvs/saudelegis/gm/2013/prt0529_01_04_2013.html" TargetMode="External"/><Relationship Id="rId5" Type="http://schemas.openxmlformats.org/officeDocument/2006/relationships/hyperlink" Target="https://portal.coren-sp.gov.br/sites/default/files/10_passos_seguranca_paciente_0.pdf" TargetMode="External"/><Relationship Id="rId4" Type="http://schemas.openxmlformats.org/officeDocument/2006/relationships/hyperlink" Target="https://www20.anvisa.gov.br/segurancadopaciente/index.php/publicacoes/item/identificacao-do-pacient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32B7E-048D-4991-B846-DC77C462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1061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>Nairim Tatiane Lima Chaves</cp:lastModifiedBy>
  <cp:revision>4</cp:revision>
  <cp:lastPrinted>2017-04-07T12:40:00Z</cp:lastPrinted>
  <dcterms:created xsi:type="dcterms:W3CDTF">2020-05-26T13:16:00Z</dcterms:created>
  <dcterms:modified xsi:type="dcterms:W3CDTF">2020-05-26T14:14:00Z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