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6" w:rsidRDefault="002B33F6" w:rsidP="002B33F6">
      <w:pPr>
        <w:pStyle w:val="body10"/>
        <w:ind w:firstLine="0"/>
        <w:rPr>
          <w:b/>
          <w:bCs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INCABÍVEL HABEAS CORPUS </w:t>
      </w:r>
      <w:r>
        <w:rPr>
          <w:b/>
          <w:bCs/>
          <w:i/>
          <w:iCs/>
          <w:sz w:val="24"/>
          <w:szCs w:val="24"/>
        </w:rPr>
        <w:t>CONTRA DECISÃO MONOCRÁTICA</w:t>
      </w:r>
    </w:p>
    <w:p w:rsidR="002B33F6" w:rsidRDefault="002B33F6" w:rsidP="002B33F6">
      <w:pPr>
        <w:pStyle w:val="body10"/>
        <w:rPr>
          <w:u w:val="single"/>
        </w:rPr>
      </w:pPr>
      <w:r>
        <w:t xml:space="preserve">Ao proferir decisão pelo não conhecimento do “writ”, o Tribunal, por maioria, reafirmou sua jurisprudência no sentido de não ser cabível “habeas corpus” impetrado contra decisão monocrática de ministro da Corte. Na espécie, os pacientes impugnaram decisão do Ministro Cezar </w:t>
      </w:r>
      <w:proofErr w:type="spellStart"/>
      <w:r>
        <w:t>Peluso</w:t>
      </w:r>
      <w:proofErr w:type="spellEnd"/>
      <w:r>
        <w:t xml:space="preserve">, que prorrogara o prazo para a realização de escutas telefônicas anteriormente autorizadas. O Tribunal esclareceu que o ato apontado como </w:t>
      </w:r>
      <w:proofErr w:type="spellStart"/>
      <w:r>
        <w:t>coator</w:t>
      </w:r>
      <w:proofErr w:type="spellEnd"/>
      <w:r>
        <w:t xml:space="preserve"> — decisão monocrática — não poderia ser questionado pela via estreita do presente “writ”. Ademais, o tema estaria materializado no Enunciado 606 da Súmula do STF (“Não cabe ‘habeas corpus’ originário para o Tribunal Pleno de decisão da Turma ou do Plenário, proferida em ‘habeas corpus’ ou no respectivo recurso”). Destacou que não se trataria de impedir a revisão do ato do relator, mas que haveria outro caminho, conforme previsto no art. 38 da Lei 8.038/1990 e no art. 21, § 1º, do RISTF. Vencidos os Ministros Marco Aurélio (relator), Dias </w:t>
      </w:r>
      <w:proofErr w:type="spellStart"/>
      <w:r>
        <w:t>Toffoli</w:t>
      </w:r>
      <w:proofErr w:type="spellEnd"/>
      <w:r>
        <w:t xml:space="preserve">, Gilmar Mendes, Celso de Mello e Ricardo </w:t>
      </w:r>
      <w:proofErr w:type="spellStart"/>
      <w:r>
        <w:t>Lewandowski</w:t>
      </w:r>
      <w:proofErr w:type="spellEnd"/>
      <w:r>
        <w:t xml:space="preserve"> (Presidente), que admitiam a impetração. Enfatizavam a importância da proteção judicial efetiva que se materializaria no “habeas corpus”. Aduziam que o próprio texto constitucional reconheceria cabível o “habeas corpus” contra autoridade submetida à Constituição, nos termos especificados, no caso, juízes do STF. </w:t>
      </w:r>
    </w:p>
    <w:p w:rsidR="002B33F6" w:rsidRDefault="002B33F6" w:rsidP="002B33F6">
      <w:pPr>
        <w:pStyle w:val="body10"/>
        <w:rPr>
          <w:b/>
          <w:bCs/>
          <w:u w:val="single"/>
        </w:rPr>
      </w:pPr>
      <w:r>
        <w:rPr>
          <w:u w:val="single"/>
        </w:rPr>
        <w:t xml:space="preserve">HC 105959/DF, rel. orig. Min. Marco Aurélio, red. p/ o acórdão Min. Edson </w:t>
      </w:r>
      <w:proofErr w:type="spellStart"/>
      <w:r>
        <w:rPr>
          <w:u w:val="single"/>
        </w:rPr>
        <w:t>Fachin</w:t>
      </w:r>
      <w:proofErr w:type="spellEnd"/>
      <w:r>
        <w:rPr>
          <w:u w:val="single"/>
        </w:rPr>
        <w:t>, 17.2.2016</w:t>
      </w:r>
      <w: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(HC-105959) </w:t>
      </w:r>
      <w:proofErr w:type="gramStart"/>
      <w:r>
        <w:rPr>
          <w:color w:val="000000"/>
          <w:u w:val="single"/>
        </w:rPr>
        <w:t>Informativo 814</w:t>
      </w:r>
      <w:proofErr w:type="gramEnd"/>
    </w:p>
    <w:p w:rsidR="002B33F6" w:rsidRDefault="002B33F6" w:rsidP="002B33F6">
      <w:pPr>
        <w:pStyle w:val="enter-3pt"/>
        <w:rPr>
          <w:rFonts w:ascii="Times New Roman" w:hAnsi="Times New Roman" w:cs="Times New Roman"/>
          <w:b/>
          <w:bCs/>
          <w:u w:val="single"/>
        </w:rPr>
      </w:pPr>
    </w:p>
    <w:p w:rsidR="0009145B" w:rsidRDefault="0009145B" w:rsidP="002B33F6">
      <w:pPr>
        <w:pStyle w:val="enter-3pt"/>
        <w:rPr>
          <w:rFonts w:ascii="Times New Roman" w:hAnsi="Times New Roman" w:cs="Times New Roman"/>
          <w:b/>
          <w:bCs/>
          <w:u w:val="single"/>
        </w:rPr>
      </w:pPr>
    </w:p>
    <w:p w:rsidR="002B33F6" w:rsidRDefault="002B33F6" w:rsidP="002B33F6">
      <w:pPr>
        <w:pStyle w:val="enter-3pt"/>
        <w:rPr>
          <w:rFonts w:ascii="Times New Roman" w:hAnsi="Times New Roman" w:cs="Times New Roman"/>
          <w:b/>
          <w:bCs/>
        </w:rPr>
      </w:pPr>
    </w:p>
    <w:p w:rsidR="0009145B" w:rsidRDefault="002B33F6" w:rsidP="0009145B">
      <w:pPr>
        <w:pStyle w:val="body10"/>
        <w:rPr>
          <w:b/>
          <w:bCs/>
          <w:color w:val="000000"/>
        </w:rPr>
      </w:pPr>
      <w:r>
        <w:rPr>
          <w:rFonts w:eastAsia="Times New Roman"/>
        </w:rPr>
        <w:tab/>
      </w:r>
      <w:r w:rsidR="0009145B">
        <w:rPr>
          <w:b/>
          <w:bCs/>
          <w:color w:val="000000"/>
        </w:rPr>
        <w:tab/>
      </w:r>
      <w:r w:rsidR="0009145B">
        <w:rPr>
          <w:b/>
          <w:bCs/>
          <w:color w:val="000000"/>
        </w:rPr>
        <w:tab/>
      </w:r>
      <w:r w:rsidR="0009145B">
        <w:rPr>
          <w:b/>
          <w:bCs/>
          <w:color w:val="000000"/>
        </w:rPr>
        <w:tab/>
        <w:t>DEFENSOR PÚBLICO NATURAL</w:t>
      </w:r>
    </w:p>
    <w:p w:rsidR="0009145B" w:rsidRDefault="0009145B" w:rsidP="0009145B">
      <w:pPr>
        <w:pStyle w:val="body10"/>
        <w:rPr>
          <w:b/>
          <w:bCs/>
          <w:color w:val="000000"/>
        </w:rPr>
      </w:pPr>
      <w:r>
        <w:t xml:space="preserve">A Segunda Turma denegou a ordem em “habeas corpus” no qual se pretendia a incidência do princípio do defensor natural. No caso, defensor público fora designado para exercer suas funções em duas comarcas distintas, em dias da semana predeterminados. Por sua vez, o juízo no qual processado o paciente determinara a realização de audiência em dia no qual o defensor estaria em comarca diversa, e designara outro advogado para prestar-lhe assistência na oportunidade. Por essa razão, alegava-se, no “habeas”, que haveria ofensa à ampla defesa e ao defensor público natural, e que o juízo deveria </w:t>
      </w:r>
      <w:proofErr w:type="spellStart"/>
      <w:r>
        <w:t>redesignar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audiência para dia em que o defensor público estivesse disponível. A Turma afirmou que fora assegurado ao paciente o direito de contato prévio e privativo com seu defensor “ad </w:t>
      </w:r>
      <w:proofErr w:type="spellStart"/>
      <w:r>
        <w:t>hoc</w:t>
      </w:r>
      <w:proofErr w:type="spellEnd"/>
      <w:r>
        <w:t xml:space="preserve">”. Este exercera seu </w:t>
      </w:r>
      <w:proofErr w:type="gramStart"/>
      <w:r>
        <w:t>mister</w:t>
      </w:r>
      <w:proofErr w:type="gramEnd"/>
      <w:r>
        <w:t xml:space="preserve"> com eficiência e exatidão, pois participara ativamente dos depoimentos, formulando perguntas tanto para o acusado quanto para as testemunhas do Ministério Público. Além disso, a Defensoria Pública deveria se acomodar ao Poder Judiciário, e não o contrário, pois a atuação da Defensoria ainda seria insuficiente em alguns locais. </w:t>
      </w:r>
      <w:r>
        <w:rPr>
          <w:u w:val="single"/>
        </w:rPr>
        <w:t xml:space="preserve">HC 123494/ES, rel. Min. </w:t>
      </w:r>
      <w:proofErr w:type="spellStart"/>
      <w:r>
        <w:rPr>
          <w:u w:val="single"/>
        </w:rPr>
        <w:t>Teori</w:t>
      </w:r>
      <w:proofErr w:type="spellEnd"/>
      <w:r>
        <w:rPr>
          <w:u w:val="single"/>
        </w:rPr>
        <w:t xml:space="preserve"> Zavascki, 16.2.2016.</w:t>
      </w:r>
      <w:r>
        <w:rPr>
          <w:color w:val="000000"/>
          <w:u w:val="single"/>
        </w:rPr>
        <w:t xml:space="preserve"> (HC-123494) </w:t>
      </w:r>
      <w:proofErr w:type="gramStart"/>
      <w:r>
        <w:rPr>
          <w:color w:val="000000"/>
          <w:u w:val="single"/>
        </w:rPr>
        <w:t>Informativo 814</w:t>
      </w:r>
      <w:proofErr w:type="gramEnd"/>
    </w:p>
    <w:p w:rsidR="0009145B" w:rsidRDefault="0009145B" w:rsidP="0009145B">
      <w:pPr>
        <w:pStyle w:val="enter-3p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</w:p>
    <w:p w:rsidR="002B33F6" w:rsidRDefault="002B33F6" w:rsidP="002B33F6">
      <w:pPr>
        <w:pStyle w:val="tit1"/>
      </w:pPr>
    </w:p>
    <w:p w:rsidR="00E45267" w:rsidRDefault="0009145B"/>
    <w:sectPr w:rsidR="00E45267" w:rsidSect="00AD3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3F6"/>
    <w:rsid w:val="0009145B"/>
    <w:rsid w:val="001B6418"/>
    <w:rsid w:val="001D6085"/>
    <w:rsid w:val="002B33F6"/>
    <w:rsid w:val="006534C3"/>
    <w:rsid w:val="007F4A3B"/>
    <w:rsid w:val="00A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ter-3pt">
    <w:name w:val="enter-3pt"/>
    <w:rsid w:val="002B33F6"/>
    <w:pPr>
      <w:suppressAutoHyphens/>
      <w:spacing w:after="0" w:line="240" w:lineRule="auto"/>
      <w:jc w:val="both"/>
    </w:pPr>
    <w:rPr>
      <w:rFonts w:ascii="Liberation Serif" w:eastAsia="SimSun" w:hAnsi="Liberation Serif" w:cs="Liberation Serif"/>
      <w:kern w:val="1"/>
      <w:sz w:val="8"/>
      <w:szCs w:val="8"/>
      <w:lang w:eastAsia="pt-BR"/>
    </w:rPr>
  </w:style>
  <w:style w:type="paragraph" w:customStyle="1" w:styleId="tit1">
    <w:name w:val="tit1"/>
    <w:rsid w:val="002B33F6"/>
    <w:pPr>
      <w:suppressAutoHyphens/>
      <w:spacing w:before="113" w:after="0" w:line="240" w:lineRule="auto"/>
    </w:pPr>
    <w:rPr>
      <w:rFonts w:ascii="Times New Roman" w:eastAsia="Courier New" w:hAnsi="Times New Roman" w:cs="Times New Roman"/>
      <w:b/>
      <w:bCs/>
      <w:i/>
      <w:iCs/>
      <w:kern w:val="1"/>
      <w:lang w:eastAsia="pt-BR"/>
    </w:rPr>
  </w:style>
  <w:style w:type="paragraph" w:customStyle="1" w:styleId="body10">
    <w:name w:val="body10"/>
    <w:rsid w:val="002B33F6"/>
    <w:pPr>
      <w:suppressAutoHyphens/>
      <w:spacing w:after="0" w:line="240" w:lineRule="auto"/>
      <w:ind w:firstLine="454"/>
      <w:jc w:val="both"/>
    </w:pPr>
    <w:rPr>
      <w:rFonts w:ascii="Times New Roman" w:eastAsia="Courier New" w:hAnsi="Times New Roman" w:cs="Times New Roman"/>
      <w:kern w:val="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flaviasoares</dc:creator>
  <cp:lastModifiedBy>flaviasoares</cp:lastModifiedBy>
  <cp:revision>2</cp:revision>
  <dcterms:created xsi:type="dcterms:W3CDTF">2016-03-30T18:51:00Z</dcterms:created>
  <dcterms:modified xsi:type="dcterms:W3CDTF">2016-03-30T18:57:00Z</dcterms:modified>
</cp:coreProperties>
</file>