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1"/>
        <w:spacing w:before="113" w:after="0"/>
        <w:rPr>
          <w:sz w:val="24"/>
          <w:szCs w:val="24"/>
        </w:rPr>
      </w:pPr>
      <w:r>
        <w:rPr/>
        <w:tab/>
        <w:tab/>
      </w:r>
      <w:r>
        <w:rPr>
          <w:sz w:val="24"/>
          <w:szCs w:val="24"/>
        </w:rPr>
        <w:t xml:space="preserve">ACESSO ÀS PROVAS EM SEDE DE INQUÉRITO POLICIAL </w:t>
      </w:r>
    </w:p>
    <w:p>
      <w:pPr>
        <w:pStyle w:val="Tit1"/>
        <w:rPr/>
      </w:pPr>
      <w:r>
        <w:rPr/>
      </w:r>
    </w:p>
    <w:p>
      <w:pPr>
        <w:pStyle w:val="Body10"/>
        <w:rPr>
          <w:u w:val="single"/>
        </w:rPr>
      </w:pPr>
      <w:r>
        <w:rPr>
          <w:spacing w:val="0"/>
          <w:sz w:val="24"/>
          <w:szCs w:val="24"/>
        </w:rPr>
        <w:t xml:space="preserve">Diligências determinadas a requerimento do Ministério Público Federal são meramente informativas, não suscetíveis ao princípio do contraditório. Desse modo, não cabe à defesa controlar, “ex ante”, a investigação, de modo a restringir os poderes instrutórios do relator do feito para deferir, desde logo, as diligências requeridas pelo Ministério Público que entender pertinentes e relevantes para o esclarecimento dos fatos. Com base nessa orientação, a Segunda Turma negou provimento a agravo regimental em inquérito interposto contra decisão do relator que deferira diligências advindas da Procuradoria-Geral da República. Na espécie, a investigada pretendia que a ela fosse concedida oportunidade de se manifestar previamente sobre relatório de análise de informações bancárias e requerimento de diligências. A Turma destacou que o Enunciado 14 da Súmula Vinculante assegura ao defensor legalmente constituído do investigado o direito de pleno acesso ao inquérito, desde que se trate de provas já produzidas e formalmente incorporadas ao procedimento investigatório. Excluídas, consequentemente, as informações e providências investigatórias ainda em curso de execução e, por isso mesmo, não documentadas nos autos. Precedente citado: HC 93.767/DF (DJe de 1º.4.2014). </w:t>
      </w:r>
      <w:r>
        <w:rPr>
          <w:sz w:val="24"/>
          <w:szCs w:val="24"/>
          <w:u w:val="single"/>
        </w:rPr>
        <w:t>Inq 3387 AgR/CE, rel. Min. Dias Toffoli, 15.12.2015.  (Inq-3387) Informativo 812</w:t>
      </w:r>
    </w:p>
    <w:p>
      <w:pPr>
        <w:pStyle w:val="Body10"/>
        <w:rPr>
          <w:sz w:val="24"/>
          <w:szCs w:val="24"/>
          <w:u w:val="single"/>
        </w:rPr>
      </w:pPr>
      <w:r>
        <w:rPr>
          <w:sz w:val="24"/>
          <w:szCs w:val="24"/>
          <w:u w:val="single"/>
        </w:rPr>
      </w:r>
    </w:p>
    <w:p>
      <w:pPr>
        <w:pStyle w:val="Body10"/>
        <w:rPr>
          <w:sz w:val="24"/>
          <w:szCs w:val="24"/>
          <w:u w:val="single"/>
        </w:rPr>
      </w:pPr>
      <w:r>
        <w:rPr>
          <w:sz w:val="24"/>
          <w:szCs w:val="24"/>
          <w:u w:val="single"/>
        </w:rPr>
      </w:r>
    </w:p>
    <w:p>
      <w:pPr>
        <w:pStyle w:val="Body10"/>
        <w:rPr>
          <w:u w:val="single"/>
        </w:rPr>
      </w:pPr>
      <w:r>
        <w:rPr>
          <w:sz w:val="24"/>
          <w:szCs w:val="24"/>
        </w:rPr>
        <w:t xml:space="preserve">A Segunda Turma, por maioria, negou provimento a agravo regimental em reclamação em que se pretendia a obtenção de acesso a termos de colaboração premiada colhidos em sede de investigação criminal. No caso, a autoridade reclamada obstara acesso ao reclamante — denunciado em ação penal — quanto a termos relativos a fatos não relacionados à inicial acusatória. Entretanto, permitira acesso no que se refere ao termo no qual fundada a denúncia. Sustentava-se ofensa ao Enunciado 14 da Súmula Vinculante (“É direito do defensor, no interesse do representado, ter acesso amplo aos elementos de prova que, já documentados em procedimento investigatório realizado por órgão com competência de polícia judiciária, digam respeito ao exercício do direito de defesa”). O Colegiado assinalou que esse enunciado sumular assegura ao defensor legalmente constituído o direito de acesso às provas já produzidas e formalmente incorporadas ao procedimento investigatório, excluídas, consequentemente, as informações e providências investigatórias ainda em curso de execução e, por isso, não documentadas no próprio inquérito ou processo judicial. Lembrou que o conteúdo dos depoimentos pretendidos pelo reclamante, embora posteriormente tornado público e à disposição, encontrava-se, à época do ato reclamado, submetido a sigilo. Assim, enquanto não instaurado formalmente o inquérito acerca dos fatos declarados, o acordo de colaboração e os correspondentes depoimentos estariam sujeitos a estrito regime de sigilo. Instaurado o inquérito, o acesso aos autos é restrito ao juiz, ao Ministério Público e ao delegado de polícia, como forma de garantir o êxito das investigações. Assegura-se ao defensor, no interesse do representado, amplo acesso aos elementos de prova que digam respeito ao exercício do direito de defesa, devidamente precedido de autorização judicial, ressalvados os referentes às diligências em andamento. Entendeu, ademais, que seria recomendável não julgar o pleito prejudicado porque, entre o pedido do reclamante e o levantamento do sigilo, vários atos processuais teriam sido praticados. Dessa forma, a prejudicialidade poderia implicar a anulação de vários desses atos. Vencido o Ministro Dias Toffoli, que julgava prejudicado o agravo. Reputava que o termo de colaboração em debate já fora disponibilizado, tendo em vista não estar mais sob sigilo, razão pela qual não haveria mais interesse processual. </w:t>
      </w:r>
    </w:p>
    <w:p>
      <w:pPr>
        <w:pStyle w:val="Body10"/>
        <w:rPr>
          <w:u w:val="single"/>
        </w:rPr>
      </w:pPr>
      <w:r>
        <w:rPr>
          <w:sz w:val="24"/>
          <w:szCs w:val="24"/>
          <w:u w:val="single"/>
        </w:rPr>
        <w:t>Rcl 22009 AgR/PR, rel. Min. Teori Zavascki, 16.2.2016.</w:t>
      </w:r>
      <w:r>
        <w:rPr>
          <w:color w:val="000000"/>
          <w:sz w:val="24"/>
          <w:szCs w:val="24"/>
          <w:u w:val="single"/>
        </w:rPr>
        <w:t xml:space="preserve"> (Rcl-22009) Informativo 814</w:t>
      </w:r>
    </w:p>
    <w:p>
      <w:pPr>
        <w:pStyle w:val="Body10"/>
        <w:rPr>
          <w:sz w:val="24"/>
          <w:szCs w:val="24"/>
          <w:u w:val="single"/>
        </w:rPr>
      </w:pPr>
      <w:r>
        <w:rPr>
          <w:sz w:val="24"/>
          <w:szCs w:val="24"/>
          <w:u w:val="single"/>
        </w:rPr>
      </w:r>
    </w:p>
    <w:p>
      <w:pPr>
        <w:pStyle w:val="Body10"/>
        <w:rPr>
          <w:sz w:val="24"/>
          <w:szCs w:val="24"/>
        </w:rPr>
      </w:pPr>
      <w:r>
        <w:rPr>
          <w:sz w:val="24"/>
          <w:szCs w:val="24"/>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37b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ter3pt" w:customStyle="1">
    <w:name w:val="enter-3pt"/>
    <w:qFormat/>
    <w:rsid w:val="00b637fb"/>
    <w:pPr>
      <w:widowControl/>
      <w:suppressAutoHyphens w:val="true"/>
      <w:bidi w:val="0"/>
      <w:spacing w:lineRule="auto" w:line="240" w:before="0" w:after="0"/>
      <w:jc w:val="both"/>
    </w:pPr>
    <w:rPr>
      <w:rFonts w:ascii="Liberation Serif" w:hAnsi="Liberation Serif" w:eastAsia="SimSun" w:cs="Liberation Serif"/>
      <w:color w:val="auto"/>
      <w:sz w:val="8"/>
      <w:szCs w:val="8"/>
      <w:lang w:eastAsia="pt-BR" w:val="pt-BR" w:bidi="ar-SA"/>
    </w:rPr>
  </w:style>
  <w:style w:type="paragraph" w:styleId="Tit1" w:customStyle="1">
    <w:name w:val="tit1"/>
    <w:qFormat/>
    <w:rsid w:val="00b637fb"/>
    <w:pPr>
      <w:widowControl/>
      <w:suppressAutoHyphens w:val="true"/>
      <w:bidi w:val="0"/>
      <w:spacing w:lineRule="auto" w:line="240" w:before="113" w:after="0"/>
      <w:jc w:val="left"/>
    </w:pPr>
    <w:rPr>
      <w:rFonts w:ascii="Times New Roman" w:hAnsi="Times New Roman" w:eastAsia="Courier New" w:cs="Times New Roman"/>
      <w:b/>
      <w:bCs/>
      <w:i/>
      <w:iCs/>
      <w:color w:val="auto"/>
      <w:sz w:val="22"/>
      <w:szCs w:val="22"/>
      <w:lang w:eastAsia="pt-BR" w:val="pt-BR" w:bidi="ar-SA"/>
    </w:rPr>
  </w:style>
  <w:style w:type="paragraph" w:styleId="Body10" w:customStyle="1">
    <w:name w:val="body10"/>
    <w:qFormat/>
    <w:rsid w:val="00b637fb"/>
    <w:pPr>
      <w:widowControl/>
      <w:suppressAutoHyphens w:val="true"/>
      <w:bidi w:val="0"/>
      <w:spacing w:lineRule="auto" w:line="240" w:before="0" w:after="0"/>
      <w:ind w:firstLine="454"/>
      <w:jc w:val="both"/>
    </w:pPr>
    <w:rPr>
      <w:rFonts w:ascii="Times New Roman" w:hAnsi="Times New Roman" w:eastAsia="Courier New" w:cs="Times New Roman"/>
      <w:color w:val="auto"/>
      <w:sz w:val="20"/>
      <w:szCs w:val="20"/>
      <w:lang w:eastAsia="pt-BR" w:val="pt-BR" w:bidi="ar-SA"/>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2016-03-30T18:49:00Z</dcterms:created>
  <dc:creator>flaviasoares</dc:creator>
  <dc:language>pt-BR</dc:language>
  <dcterms:modified xsi:type="dcterms:W3CDTF">2016-04-07T11:33:08Z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